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E69" w:rsidRDefault="00FF04C9" w:rsidP="008F2886">
      <w:pPr>
        <w:autoSpaceDE w:val="0"/>
        <w:autoSpaceDN w:val="0"/>
        <w:adjustRightInd w:val="0"/>
        <w:spacing w:line="240" w:lineRule="auto"/>
        <w:jc w:val="center"/>
        <w:rPr>
          <w:rFonts w:cs="Arial"/>
          <w:b/>
          <w:sz w:val="28"/>
          <w:szCs w:val="24"/>
        </w:rPr>
      </w:pPr>
      <w:r>
        <w:rPr>
          <w:rFonts w:cs="Arial"/>
          <w:noProof/>
          <w:szCs w:val="24"/>
        </w:rPr>
        <w:drawing>
          <wp:anchor distT="0" distB="0" distL="114300" distR="114300" simplePos="0" relativeHeight="251658240" behindDoc="0" locked="0" layoutInCell="1" allowOverlap="1" wp14:anchorId="30F10BD5" wp14:editId="2A5FB9E1">
            <wp:simplePos x="2057400" y="1143000"/>
            <wp:positionH relativeFrom="margin">
              <wp:align>center</wp:align>
            </wp:positionH>
            <wp:positionV relativeFrom="margin">
              <wp:align>top</wp:align>
            </wp:positionV>
            <wp:extent cx="1389380" cy="927735"/>
            <wp:effectExtent l="19050" t="19050" r="20320" b="24765"/>
            <wp:wrapSquare wrapText="bothSides"/>
            <wp:docPr id="5" name="Grafik 5" descr="C:\Users\Christina.Pfeiffer\Pictures\Ingo Wandmacher Fotos\IW1415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Pfeiffer\Pictures\Ingo Wandmacher Fotos\IW14150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388" cy="935229"/>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p>
    <w:p w:rsidR="00A85E2B" w:rsidRDefault="00A85E2B" w:rsidP="004E6718">
      <w:pPr>
        <w:autoSpaceDE w:val="0"/>
        <w:autoSpaceDN w:val="0"/>
        <w:adjustRightInd w:val="0"/>
        <w:spacing w:line="240" w:lineRule="auto"/>
        <w:jc w:val="center"/>
        <w:rPr>
          <w:rFonts w:cs="Arial"/>
          <w:b/>
          <w:sz w:val="28"/>
          <w:szCs w:val="24"/>
        </w:rPr>
      </w:pPr>
    </w:p>
    <w:p w:rsidR="00FF04C9" w:rsidRDefault="00FF04C9" w:rsidP="00A85E2B">
      <w:pPr>
        <w:autoSpaceDE w:val="0"/>
        <w:autoSpaceDN w:val="0"/>
        <w:adjustRightInd w:val="0"/>
        <w:spacing w:before="120" w:line="240" w:lineRule="auto"/>
        <w:rPr>
          <w:rFonts w:cs="Arial"/>
          <w:b/>
          <w:sz w:val="28"/>
          <w:szCs w:val="24"/>
        </w:rPr>
      </w:pPr>
    </w:p>
    <w:p w:rsidR="00FF04C9" w:rsidRDefault="004E6718" w:rsidP="00A85E2B">
      <w:pPr>
        <w:autoSpaceDE w:val="0"/>
        <w:autoSpaceDN w:val="0"/>
        <w:adjustRightInd w:val="0"/>
        <w:spacing w:before="120" w:line="240" w:lineRule="auto"/>
        <w:rPr>
          <w:rFonts w:cs="Arial"/>
          <w:b/>
          <w:sz w:val="28"/>
          <w:szCs w:val="24"/>
        </w:rPr>
      </w:pPr>
      <w:r>
        <w:rPr>
          <w:rFonts w:cs="Arial"/>
          <w:b/>
          <w:sz w:val="28"/>
          <w:szCs w:val="24"/>
        </w:rPr>
        <w:br/>
      </w:r>
    </w:p>
    <w:p w:rsidR="00FF04C9" w:rsidRDefault="00FF04C9" w:rsidP="00A85E2B">
      <w:pPr>
        <w:autoSpaceDE w:val="0"/>
        <w:autoSpaceDN w:val="0"/>
        <w:adjustRightInd w:val="0"/>
        <w:spacing w:before="120" w:line="240" w:lineRule="auto"/>
        <w:rPr>
          <w:rFonts w:cs="Arial"/>
          <w:b/>
          <w:sz w:val="28"/>
          <w:szCs w:val="24"/>
        </w:rPr>
      </w:pPr>
    </w:p>
    <w:p w:rsidR="00804636" w:rsidRPr="00323D22" w:rsidRDefault="00804636" w:rsidP="00A85E2B">
      <w:pPr>
        <w:autoSpaceDE w:val="0"/>
        <w:autoSpaceDN w:val="0"/>
        <w:adjustRightInd w:val="0"/>
        <w:spacing w:before="120" w:line="240" w:lineRule="auto"/>
        <w:rPr>
          <w:rFonts w:cs="Arial"/>
          <w:b/>
          <w:sz w:val="28"/>
          <w:szCs w:val="24"/>
        </w:rPr>
      </w:pPr>
      <w:r>
        <w:rPr>
          <w:rFonts w:cs="Arial"/>
          <w:b/>
          <w:sz w:val="28"/>
          <w:szCs w:val="24"/>
        </w:rPr>
        <w:t>Leitprojekte Integrierte ländliche Entwicklung (ILE-Leitprojekte)</w:t>
      </w:r>
    </w:p>
    <w:p w:rsidR="00EA1FEB" w:rsidRPr="00DA1A81" w:rsidRDefault="00EA1FEB" w:rsidP="00EA1FEB">
      <w:pPr>
        <w:tabs>
          <w:tab w:val="left" w:pos="1843"/>
        </w:tabs>
        <w:spacing w:before="200" w:line="240" w:lineRule="auto"/>
        <w:rPr>
          <w:rFonts w:cs="Arial"/>
          <w:b/>
          <w:sz w:val="28"/>
          <w:szCs w:val="28"/>
        </w:rPr>
      </w:pPr>
      <w:r w:rsidRPr="00DA1A81">
        <w:rPr>
          <w:rFonts w:cs="Arial"/>
          <w:b/>
          <w:sz w:val="28"/>
          <w:szCs w:val="28"/>
        </w:rPr>
        <w:t xml:space="preserve">LPLR Code 7.6.1: Erhaltung des kulturellen Erbes </w:t>
      </w:r>
    </w:p>
    <w:p w:rsidR="00DB113E" w:rsidRPr="00DB113E" w:rsidRDefault="00DB113E" w:rsidP="00EA1FEB">
      <w:pPr>
        <w:spacing w:before="240" w:line="240" w:lineRule="auto"/>
        <w:rPr>
          <w:rFonts w:eastAsiaTheme="minorEastAsia" w:cs="Arial"/>
          <w:sz w:val="22"/>
          <w:szCs w:val="22"/>
          <w:lang w:eastAsia="zh-CN"/>
        </w:rPr>
      </w:pPr>
      <w:r w:rsidRPr="00DB113E">
        <w:rPr>
          <w:rFonts w:cs="Arial"/>
          <w:sz w:val="22"/>
          <w:szCs w:val="22"/>
        </w:rPr>
        <w:t xml:space="preserve">Die Förderung der integrierten ländlichen Entwicklung erfolgt gemäß Artikel 20 der Verordnung (EU) Nr. 1305/2013. </w:t>
      </w:r>
      <w:r w:rsidRPr="00DB113E">
        <w:rPr>
          <w:rFonts w:eastAsiaTheme="minorEastAsia" w:cs="Arial"/>
          <w:sz w:val="22"/>
          <w:szCs w:val="22"/>
          <w:lang w:eastAsia="zh-CN"/>
        </w:rPr>
        <w:t xml:space="preserve">Die Rahmenbedingungen der Förderung sind im Landesprogramm ländlicher Raum (LPLR) des </w:t>
      </w:r>
      <w:r w:rsidRPr="00DB113E">
        <w:rPr>
          <w:rFonts w:cs="Arial"/>
          <w:sz w:val="22"/>
          <w:szCs w:val="22"/>
        </w:rPr>
        <w:t>Ministeriums für Energiewende, Landwirtschaft, Umwelt</w:t>
      </w:r>
      <w:r w:rsidR="00033076">
        <w:rPr>
          <w:rFonts w:cs="Arial"/>
          <w:sz w:val="22"/>
          <w:szCs w:val="22"/>
        </w:rPr>
        <w:t>,</w:t>
      </w:r>
      <w:r w:rsidRPr="00DB113E">
        <w:rPr>
          <w:rFonts w:cs="Arial"/>
          <w:sz w:val="22"/>
          <w:szCs w:val="22"/>
        </w:rPr>
        <w:t xml:space="preserve"> </w:t>
      </w:r>
      <w:r w:rsidR="008F2886">
        <w:rPr>
          <w:rFonts w:cs="Arial"/>
          <w:sz w:val="22"/>
          <w:szCs w:val="22"/>
        </w:rPr>
        <w:t xml:space="preserve">Natur und Digitalisierung </w:t>
      </w:r>
      <w:r w:rsidRPr="00DB113E">
        <w:rPr>
          <w:rFonts w:cs="Arial"/>
          <w:sz w:val="22"/>
          <w:szCs w:val="22"/>
        </w:rPr>
        <w:t>des</w:t>
      </w:r>
      <w:r w:rsidRPr="00DB113E">
        <w:rPr>
          <w:rFonts w:cs="Arial"/>
          <w:color w:val="1D1D1B"/>
          <w:sz w:val="22"/>
          <w:szCs w:val="22"/>
        </w:rPr>
        <w:t xml:space="preserve"> </w:t>
      </w:r>
      <w:r w:rsidRPr="00DB113E">
        <w:rPr>
          <w:rFonts w:eastAsiaTheme="minorEastAsia" w:cs="Arial"/>
          <w:sz w:val="22"/>
          <w:szCs w:val="22"/>
          <w:lang w:eastAsia="zh-CN"/>
        </w:rPr>
        <w:t xml:space="preserve">Landes Schleswig-Holstein </w:t>
      </w:r>
      <w:r w:rsidR="008F2886">
        <w:rPr>
          <w:rFonts w:cs="Arial"/>
          <w:sz w:val="22"/>
          <w:szCs w:val="22"/>
        </w:rPr>
        <w:t>(MELUND)</w:t>
      </w:r>
      <w:r w:rsidR="008F2886" w:rsidRPr="00DB113E">
        <w:rPr>
          <w:rFonts w:cs="Arial"/>
          <w:sz w:val="22"/>
          <w:szCs w:val="22"/>
        </w:rPr>
        <w:t xml:space="preserve"> </w:t>
      </w:r>
      <w:r w:rsidRPr="00DB113E">
        <w:rPr>
          <w:rFonts w:eastAsiaTheme="minorEastAsia" w:cs="Arial"/>
          <w:sz w:val="22"/>
          <w:szCs w:val="22"/>
          <w:lang w:eastAsia="zh-CN"/>
        </w:rPr>
        <w:t>für den Programmplanungszeitraum 2014-2020 beschrieben.</w:t>
      </w:r>
      <w:r w:rsidR="00F01C43">
        <w:rPr>
          <w:rFonts w:cs="Arial"/>
          <w:sz w:val="22"/>
          <w:szCs w:val="22"/>
        </w:rPr>
        <w:t xml:space="preserve"> </w:t>
      </w:r>
      <w:r w:rsidR="00F01C43">
        <w:rPr>
          <w:rFonts w:cs="Arial"/>
          <w:sz w:val="22"/>
          <w:szCs w:val="22"/>
        </w:rPr>
        <w:br/>
        <w:t>Förder</w:t>
      </w:r>
      <w:r w:rsidRPr="00DB113E">
        <w:rPr>
          <w:rFonts w:eastAsiaTheme="minorEastAsia" w:cs="Arial"/>
          <w:sz w:val="22"/>
          <w:szCs w:val="22"/>
          <w:lang w:eastAsia="zh-CN"/>
        </w:rPr>
        <w:t xml:space="preserve">grundlagen sind die Richtlinie zur Förderung der integrierten ländlichen Entwicklung in Schleswig-Holstein (ILE-Richtlinie) sowie der jeweils gültige GAK-Rahmenplan/Nationale Rahmenregelung (NRR). </w:t>
      </w:r>
    </w:p>
    <w:p w:rsidR="00B14183" w:rsidRPr="00CF243D" w:rsidRDefault="00EA1FEB" w:rsidP="00CF243D">
      <w:pPr>
        <w:tabs>
          <w:tab w:val="left" w:pos="1843"/>
        </w:tabs>
        <w:spacing w:before="200" w:line="240" w:lineRule="auto"/>
        <w:rPr>
          <w:rFonts w:cs="Arial"/>
          <w:b/>
        </w:rPr>
      </w:pPr>
      <w:r>
        <w:rPr>
          <w:rFonts w:cs="Arial"/>
          <w:bCs/>
          <w:sz w:val="22"/>
          <w:szCs w:val="22"/>
        </w:rPr>
        <w:t>Mit dem Leitprojekt „Erhaltung des kulturellen Erbes“ sollen</w:t>
      </w:r>
      <w:r w:rsidR="00B14183" w:rsidRPr="006F65B1">
        <w:rPr>
          <w:rFonts w:cs="Arial"/>
          <w:bCs/>
          <w:sz w:val="22"/>
          <w:szCs w:val="22"/>
        </w:rPr>
        <w:t xml:space="preserve"> Studien und Investitionen im Zusammenhang mit der Erhaltung, Wiederherstellung und Verbesserung des kulturellen Erbes von Dörfern, einschließlich der dazugehörigen sozioökonomischen Aspekte</w:t>
      </w:r>
      <w:r>
        <w:rPr>
          <w:rFonts w:cs="Arial"/>
          <w:bCs/>
          <w:sz w:val="22"/>
          <w:szCs w:val="22"/>
        </w:rPr>
        <w:t xml:space="preserve"> unterstützt werden</w:t>
      </w:r>
      <w:r w:rsidR="00B14183" w:rsidRPr="006F65B1">
        <w:rPr>
          <w:rFonts w:cs="Arial"/>
          <w:bCs/>
          <w:sz w:val="22"/>
          <w:szCs w:val="22"/>
        </w:rPr>
        <w:t>.</w:t>
      </w:r>
    </w:p>
    <w:p w:rsidR="00B14183" w:rsidRPr="006F65B1" w:rsidRDefault="00B14183" w:rsidP="001766BF">
      <w:pPr>
        <w:tabs>
          <w:tab w:val="left" w:pos="993"/>
          <w:tab w:val="left" w:pos="1985"/>
          <w:tab w:val="left" w:pos="5488"/>
        </w:tabs>
        <w:spacing w:before="120" w:line="240" w:lineRule="auto"/>
        <w:rPr>
          <w:rFonts w:cs="Arial"/>
          <w:b/>
          <w:sz w:val="22"/>
          <w:szCs w:val="22"/>
          <w:lang w:eastAsia="zh-CN"/>
        </w:rPr>
      </w:pPr>
      <w:r w:rsidRPr="006F65B1">
        <w:rPr>
          <w:rFonts w:cs="Arial"/>
          <w:b/>
          <w:sz w:val="22"/>
          <w:szCs w:val="22"/>
          <w:lang w:eastAsia="zh-CN"/>
        </w:rPr>
        <w:t xml:space="preserve">Zuwendungsfähig sind: </w:t>
      </w:r>
      <w:r w:rsidR="001766BF">
        <w:rPr>
          <w:rFonts w:cs="Arial"/>
          <w:b/>
          <w:sz w:val="22"/>
          <w:szCs w:val="22"/>
          <w:lang w:eastAsia="zh-CN"/>
        </w:rPr>
        <w:tab/>
      </w:r>
    </w:p>
    <w:p w:rsidR="00B14183" w:rsidRPr="006F65B1" w:rsidRDefault="00B14183" w:rsidP="00B14183">
      <w:pPr>
        <w:tabs>
          <w:tab w:val="left" w:pos="993"/>
          <w:tab w:val="left" w:pos="1843"/>
        </w:tabs>
        <w:spacing w:line="240" w:lineRule="auto"/>
        <w:ind w:left="284" w:hanging="284"/>
        <w:rPr>
          <w:rFonts w:cs="Arial"/>
          <w:sz w:val="22"/>
          <w:szCs w:val="22"/>
          <w:lang w:eastAsia="zh-CN"/>
        </w:rPr>
      </w:pPr>
      <w:r w:rsidRPr="006F65B1">
        <w:rPr>
          <w:rFonts w:cs="Arial"/>
          <w:sz w:val="22"/>
          <w:szCs w:val="22"/>
          <w:lang w:eastAsia="zh-CN"/>
        </w:rPr>
        <w:t xml:space="preserve">a) bauliche Investitionen (Hoch- und Tiefbau) inkl. fest verbundener Ausstattung im Zusammenhang mit der Erhaltung, Wiederherstellung und Verbesserung des kulturellen Erbes zum Beispiel in den folgenden Bereichen: </w:t>
      </w:r>
    </w:p>
    <w:p w:rsidR="00B14183" w:rsidRPr="006F65B1" w:rsidRDefault="00B14183" w:rsidP="00B14183">
      <w:pPr>
        <w:numPr>
          <w:ilvl w:val="2"/>
          <w:numId w:val="2"/>
        </w:numPr>
        <w:tabs>
          <w:tab w:val="clear" w:pos="2160"/>
        </w:tabs>
        <w:spacing w:line="240" w:lineRule="auto"/>
        <w:ind w:left="569" w:hanging="285"/>
        <w:jc w:val="both"/>
        <w:rPr>
          <w:rFonts w:cs="Arial"/>
          <w:sz w:val="22"/>
          <w:szCs w:val="22"/>
          <w:lang w:eastAsia="zh-CN"/>
        </w:rPr>
      </w:pPr>
      <w:r w:rsidRPr="006F65B1">
        <w:rPr>
          <w:rFonts w:cs="Arial"/>
          <w:sz w:val="22"/>
          <w:szCs w:val="22"/>
          <w:lang w:eastAsia="zh-CN"/>
        </w:rPr>
        <w:t>Museen und Gedenkstätten zur Darstellung des kulturellen Erbes;</w:t>
      </w:r>
    </w:p>
    <w:p w:rsidR="00B14183" w:rsidRPr="006F65B1" w:rsidRDefault="00B14183" w:rsidP="00B14183">
      <w:pPr>
        <w:numPr>
          <w:ilvl w:val="2"/>
          <w:numId w:val="2"/>
        </w:numPr>
        <w:spacing w:line="240" w:lineRule="auto"/>
        <w:ind w:left="569" w:hanging="285"/>
        <w:jc w:val="both"/>
        <w:rPr>
          <w:rFonts w:cs="Arial"/>
          <w:sz w:val="22"/>
          <w:szCs w:val="22"/>
          <w:lang w:eastAsia="zh-CN"/>
        </w:rPr>
      </w:pPr>
      <w:r w:rsidRPr="006F65B1">
        <w:rPr>
          <w:rFonts w:cs="Arial"/>
          <w:sz w:val="22"/>
          <w:szCs w:val="22"/>
          <w:lang w:eastAsia="zh-CN"/>
        </w:rPr>
        <w:t>kulturelle Merkmale der Dörfer wie sakrale Gebäude, historische Gutsanlagen, Baudenkmäler;</w:t>
      </w:r>
    </w:p>
    <w:p w:rsidR="00B14183" w:rsidRPr="006F65B1" w:rsidRDefault="00B14183" w:rsidP="00B14183">
      <w:pPr>
        <w:numPr>
          <w:ilvl w:val="0"/>
          <w:numId w:val="1"/>
        </w:numPr>
        <w:spacing w:line="240" w:lineRule="auto"/>
        <w:ind w:left="569" w:hanging="284"/>
        <w:jc w:val="both"/>
        <w:rPr>
          <w:rFonts w:cs="Arial"/>
          <w:sz w:val="22"/>
          <w:szCs w:val="22"/>
          <w:lang w:eastAsia="zh-CN"/>
        </w:rPr>
      </w:pPr>
      <w:r w:rsidRPr="006F65B1">
        <w:rPr>
          <w:rFonts w:cs="Arial"/>
          <w:sz w:val="22"/>
          <w:szCs w:val="22"/>
          <w:lang w:eastAsia="zh-CN"/>
        </w:rPr>
        <w:t>Ensembles/Plätze und Gebäude, die für die kulturelle Identität der Dörfer prägend sind</w:t>
      </w:r>
    </w:p>
    <w:p w:rsidR="00B14183" w:rsidRPr="006F65B1" w:rsidRDefault="00B14183" w:rsidP="00B14183">
      <w:pPr>
        <w:spacing w:before="120" w:line="240" w:lineRule="auto"/>
        <w:ind w:left="284" w:hanging="284"/>
        <w:rPr>
          <w:rFonts w:cs="Arial"/>
          <w:sz w:val="22"/>
          <w:szCs w:val="22"/>
          <w:lang w:eastAsia="zh-CN"/>
        </w:rPr>
      </w:pPr>
      <w:r w:rsidRPr="006F65B1">
        <w:rPr>
          <w:rFonts w:cs="Arial"/>
          <w:sz w:val="22"/>
          <w:szCs w:val="22"/>
          <w:lang w:eastAsia="zh-CN"/>
        </w:rPr>
        <w:t>b) Kosten für Studien zum Erhalt des Kulturerbes können auch ohne Bezug zu einem investiven Vorhaben gefördert werden, wie die Untersuchung zur Verknüpfung des Kulturerbes zu anderen Sektoren (z.B. zum Tourismus) oder Studien zur Stärkung immateriellen Kulturerbes (wie der Niederdeutschen Sprache).</w:t>
      </w:r>
    </w:p>
    <w:p w:rsidR="00B14183" w:rsidRPr="006F65B1" w:rsidRDefault="00B14183" w:rsidP="00C025E5">
      <w:pPr>
        <w:pStyle w:val="Anschrift"/>
        <w:tabs>
          <w:tab w:val="left" w:pos="6521"/>
        </w:tabs>
        <w:spacing w:before="200"/>
        <w:rPr>
          <w:rFonts w:cs="Arial"/>
          <w:b/>
          <w:szCs w:val="24"/>
        </w:rPr>
      </w:pPr>
      <w:r w:rsidRPr="006F65B1">
        <w:rPr>
          <w:rFonts w:cs="Arial"/>
          <w:b/>
          <w:szCs w:val="24"/>
        </w:rPr>
        <w:t>Zuwendungsempfänger</w:t>
      </w:r>
      <w:r>
        <w:rPr>
          <w:rFonts w:cs="Arial"/>
          <w:b/>
          <w:szCs w:val="24"/>
        </w:rPr>
        <w:t>:</w:t>
      </w:r>
    </w:p>
    <w:p w:rsidR="00B14183" w:rsidRDefault="00B14183" w:rsidP="00B14183">
      <w:pPr>
        <w:pStyle w:val="Anschrift"/>
        <w:numPr>
          <w:ilvl w:val="0"/>
          <w:numId w:val="4"/>
        </w:numPr>
        <w:tabs>
          <w:tab w:val="left" w:pos="6521"/>
        </w:tabs>
        <w:rPr>
          <w:rFonts w:cs="Arial"/>
          <w:sz w:val="22"/>
          <w:szCs w:val="22"/>
        </w:rPr>
      </w:pPr>
      <w:r w:rsidRPr="006F65B1">
        <w:rPr>
          <w:rFonts w:cs="Arial"/>
          <w:sz w:val="22"/>
          <w:szCs w:val="22"/>
        </w:rPr>
        <w:t xml:space="preserve">Gemeinden und Gemeindeverbände </w:t>
      </w:r>
    </w:p>
    <w:p w:rsidR="00B14183" w:rsidRDefault="00B14183" w:rsidP="00B14183">
      <w:pPr>
        <w:pStyle w:val="Anschrift"/>
        <w:numPr>
          <w:ilvl w:val="0"/>
          <w:numId w:val="4"/>
        </w:numPr>
        <w:tabs>
          <w:tab w:val="left" w:pos="6521"/>
        </w:tabs>
        <w:rPr>
          <w:rFonts w:cs="Arial"/>
          <w:sz w:val="22"/>
          <w:szCs w:val="22"/>
        </w:rPr>
      </w:pPr>
      <w:r w:rsidRPr="006F65B1">
        <w:rPr>
          <w:rFonts w:cs="Arial"/>
          <w:sz w:val="22"/>
          <w:szCs w:val="22"/>
        </w:rPr>
        <w:t>juristische Personen des öffentlichen Rechts</w:t>
      </w:r>
    </w:p>
    <w:p w:rsidR="00B14183" w:rsidRPr="006F65B1" w:rsidRDefault="00B14183" w:rsidP="00C025E5">
      <w:pPr>
        <w:pStyle w:val="Anschrift"/>
        <w:tabs>
          <w:tab w:val="left" w:pos="6521"/>
        </w:tabs>
        <w:spacing w:before="200"/>
        <w:rPr>
          <w:rFonts w:cs="Arial"/>
          <w:b/>
          <w:szCs w:val="24"/>
        </w:rPr>
      </w:pPr>
      <w:r w:rsidRPr="006F65B1">
        <w:rPr>
          <w:rFonts w:cs="Arial"/>
          <w:b/>
          <w:szCs w:val="24"/>
        </w:rPr>
        <w:t>Förderquote</w:t>
      </w:r>
      <w:r>
        <w:rPr>
          <w:rFonts w:cs="Arial"/>
          <w:b/>
          <w:szCs w:val="24"/>
        </w:rPr>
        <w:t xml:space="preserve">: </w:t>
      </w:r>
      <w:r w:rsidR="007B0508" w:rsidRPr="00501368">
        <w:rPr>
          <w:rFonts w:cs="Arial"/>
          <w:sz w:val="22"/>
          <w:szCs w:val="22"/>
        </w:rPr>
        <w:t>bis zu</w:t>
      </w:r>
      <w:r w:rsidR="007B0508">
        <w:rPr>
          <w:rFonts w:cs="Arial"/>
          <w:b/>
          <w:szCs w:val="24"/>
        </w:rPr>
        <w:t xml:space="preserve"> </w:t>
      </w:r>
      <w:r w:rsidRPr="00856F0A">
        <w:rPr>
          <w:rFonts w:cs="Arial"/>
          <w:b/>
          <w:sz w:val="22"/>
          <w:szCs w:val="22"/>
        </w:rPr>
        <w:t>53%</w:t>
      </w:r>
      <w:r w:rsidRPr="004D1D87">
        <w:rPr>
          <w:rFonts w:cs="Arial"/>
          <w:sz w:val="22"/>
          <w:szCs w:val="22"/>
        </w:rPr>
        <w:t xml:space="preserve"> der </w:t>
      </w:r>
      <w:r w:rsidR="007B0508">
        <w:rPr>
          <w:rFonts w:cs="Arial"/>
          <w:sz w:val="22"/>
          <w:szCs w:val="22"/>
        </w:rPr>
        <w:t>förderfähigen Kosten</w:t>
      </w:r>
    </w:p>
    <w:p w:rsidR="00B14183" w:rsidRPr="006F65B1" w:rsidRDefault="00B14183" w:rsidP="00C025E5">
      <w:pPr>
        <w:pStyle w:val="Anschrift"/>
        <w:tabs>
          <w:tab w:val="left" w:pos="6521"/>
        </w:tabs>
        <w:spacing w:before="200"/>
        <w:rPr>
          <w:rFonts w:cs="Arial"/>
          <w:b/>
          <w:szCs w:val="24"/>
        </w:rPr>
      </w:pPr>
      <w:r w:rsidRPr="006F65B1">
        <w:rPr>
          <w:rFonts w:cs="Arial"/>
          <w:b/>
          <w:szCs w:val="24"/>
        </w:rPr>
        <w:t>Zuwendungsvoraussetzungen</w:t>
      </w:r>
      <w:r>
        <w:rPr>
          <w:rFonts w:cs="Arial"/>
          <w:b/>
          <w:szCs w:val="24"/>
        </w:rPr>
        <w:t>:</w:t>
      </w:r>
    </w:p>
    <w:p w:rsidR="00F01C43" w:rsidRPr="0063768A" w:rsidRDefault="00F01C43" w:rsidP="00F01C43">
      <w:pPr>
        <w:pStyle w:val="Anschrift"/>
        <w:numPr>
          <w:ilvl w:val="0"/>
          <w:numId w:val="3"/>
        </w:numPr>
        <w:tabs>
          <w:tab w:val="left" w:pos="6521"/>
        </w:tabs>
        <w:ind w:left="357" w:hanging="357"/>
        <w:rPr>
          <w:rFonts w:cs="Arial"/>
          <w:szCs w:val="24"/>
        </w:rPr>
      </w:pPr>
      <w:r>
        <w:rPr>
          <w:rFonts w:cs="Arial"/>
          <w:sz w:val="22"/>
          <w:szCs w:val="22"/>
        </w:rPr>
        <w:t xml:space="preserve">Gefördert wird in </w:t>
      </w:r>
      <w:r w:rsidRPr="00F911C0">
        <w:rPr>
          <w:rFonts w:cs="Arial"/>
          <w:sz w:val="22"/>
          <w:szCs w:val="22"/>
        </w:rPr>
        <w:t xml:space="preserve">Gemeinden </w:t>
      </w:r>
      <w:r w:rsidR="007B0508">
        <w:rPr>
          <w:rFonts w:cs="Arial"/>
          <w:sz w:val="22"/>
          <w:szCs w:val="22"/>
        </w:rPr>
        <w:t>bis zu</w:t>
      </w:r>
      <w:r w:rsidRPr="00F911C0">
        <w:rPr>
          <w:rFonts w:cs="Arial"/>
          <w:sz w:val="22"/>
          <w:szCs w:val="22"/>
        </w:rPr>
        <w:t xml:space="preserve"> </w:t>
      </w:r>
      <w:r w:rsidRPr="00F911C0">
        <w:rPr>
          <w:rFonts w:cs="Arial"/>
          <w:b/>
          <w:sz w:val="22"/>
          <w:szCs w:val="22"/>
        </w:rPr>
        <w:t>35.000 Einwohnern</w:t>
      </w:r>
      <w:r>
        <w:rPr>
          <w:rFonts w:cs="Arial"/>
          <w:b/>
          <w:sz w:val="22"/>
          <w:szCs w:val="22"/>
        </w:rPr>
        <w:t>.</w:t>
      </w:r>
    </w:p>
    <w:p w:rsidR="00F01C43" w:rsidRPr="00F911C0" w:rsidRDefault="00F01C43" w:rsidP="00F01C43">
      <w:pPr>
        <w:pStyle w:val="Listenabsatz"/>
        <w:numPr>
          <w:ilvl w:val="0"/>
          <w:numId w:val="3"/>
        </w:numPr>
        <w:rPr>
          <w:rFonts w:ascii="Arial" w:eastAsia="SimSun" w:hAnsi="Arial" w:cs="Arial"/>
          <w:sz w:val="22"/>
          <w:szCs w:val="22"/>
        </w:rPr>
      </w:pPr>
      <w:r w:rsidRPr="00F911C0">
        <w:rPr>
          <w:rFonts w:ascii="Arial" w:hAnsi="Arial" w:cs="Arial"/>
          <w:sz w:val="22"/>
          <w:szCs w:val="22"/>
        </w:rPr>
        <w:t>Mindestzuschuss</w:t>
      </w:r>
      <w:r>
        <w:rPr>
          <w:rFonts w:ascii="Arial" w:hAnsi="Arial" w:cs="Arial"/>
          <w:sz w:val="22"/>
          <w:szCs w:val="22"/>
        </w:rPr>
        <w:t>bedarf</w:t>
      </w:r>
      <w:r w:rsidRPr="00F911C0">
        <w:rPr>
          <w:rFonts w:ascii="Arial" w:hAnsi="Arial" w:cs="Arial"/>
          <w:b/>
          <w:sz w:val="22"/>
          <w:szCs w:val="22"/>
        </w:rPr>
        <w:t xml:space="preserve"> </w:t>
      </w:r>
      <w:r w:rsidRPr="00F911C0">
        <w:rPr>
          <w:rFonts w:ascii="Arial" w:eastAsia="SimSun" w:hAnsi="Arial" w:cs="Arial"/>
          <w:sz w:val="22"/>
          <w:szCs w:val="22"/>
        </w:rPr>
        <w:t xml:space="preserve">in Höhe von </w:t>
      </w:r>
      <w:r w:rsidRPr="00F911C0">
        <w:rPr>
          <w:rFonts w:ascii="Arial" w:eastAsia="SimSun" w:hAnsi="Arial" w:cs="Arial"/>
          <w:b/>
          <w:sz w:val="22"/>
          <w:szCs w:val="22"/>
        </w:rPr>
        <w:t>100.000 Euro</w:t>
      </w:r>
      <w:r w:rsidRPr="00F911C0">
        <w:rPr>
          <w:rFonts w:ascii="Arial" w:eastAsia="SimSun" w:hAnsi="Arial" w:cs="Arial"/>
          <w:sz w:val="22"/>
          <w:szCs w:val="22"/>
        </w:rPr>
        <w:t xml:space="preserve"> für Investitionen (Bagatellgrenze) </w:t>
      </w:r>
    </w:p>
    <w:p w:rsidR="00B14183" w:rsidRPr="006A2D1B" w:rsidRDefault="00B14183" w:rsidP="00B14183">
      <w:pPr>
        <w:pStyle w:val="Listenabsatz"/>
        <w:numPr>
          <w:ilvl w:val="0"/>
          <w:numId w:val="3"/>
        </w:numPr>
        <w:rPr>
          <w:rFonts w:ascii="Arial" w:eastAsia="SimSun" w:hAnsi="Arial" w:cs="Arial"/>
          <w:sz w:val="22"/>
          <w:szCs w:val="22"/>
        </w:rPr>
      </w:pPr>
      <w:r w:rsidRPr="00294477">
        <w:rPr>
          <w:rFonts w:ascii="Arial" w:hAnsi="Arial" w:cs="Arial"/>
          <w:sz w:val="22"/>
          <w:szCs w:val="22"/>
        </w:rPr>
        <w:t xml:space="preserve">Für investive Vorhaben ist ein </w:t>
      </w:r>
      <w:r w:rsidRPr="00482562">
        <w:rPr>
          <w:rFonts w:ascii="Arial" w:hAnsi="Arial" w:cs="Arial"/>
          <w:b/>
          <w:sz w:val="22"/>
          <w:szCs w:val="22"/>
        </w:rPr>
        <w:t>Nachweis der wirtschaftlichen Tragfähigkeit</w:t>
      </w:r>
      <w:r w:rsidRPr="00294477">
        <w:rPr>
          <w:rFonts w:ascii="Arial" w:hAnsi="Arial" w:cs="Arial"/>
          <w:sz w:val="22"/>
          <w:szCs w:val="22"/>
        </w:rPr>
        <w:t xml:space="preserve"> inklusive </w:t>
      </w:r>
      <w:r w:rsidRPr="00294477">
        <w:rPr>
          <w:rFonts w:ascii="Arial" w:hAnsi="Arial" w:cs="Arial"/>
          <w:sz w:val="22"/>
          <w:szCs w:val="22"/>
        </w:rPr>
        <w:br/>
        <w:t>Folgekosten vorzulegen.</w:t>
      </w:r>
    </w:p>
    <w:p w:rsidR="00B14183" w:rsidRPr="001E5C57" w:rsidRDefault="00B14183" w:rsidP="00B14183">
      <w:pPr>
        <w:pStyle w:val="Listenabsatz"/>
        <w:widowControl w:val="0"/>
        <w:numPr>
          <w:ilvl w:val="0"/>
          <w:numId w:val="3"/>
        </w:numPr>
        <w:tabs>
          <w:tab w:val="left" w:pos="1134"/>
        </w:tabs>
        <w:ind w:left="357" w:hanging="357"/>
        <w:rPr>
          <w:rFonts w:ascii="Arial" w:hAnsi="Arial" w:cs="Arial"/>
          <w:sz w:val="22"/>
          <w:szCs w:val="22"/>
        </w:rPr>
      </w:pPr>
      <w:r w:rsidRPr="0063768A">
        <w:rPr>
          <w:rFonts w:ascii="Arial" w:hAnsi="Arial" w:cs="Arial"/>
          <w:sz w:val="22"/>
          <w:szCs w:val="22"/>
        </w:rPr>
        <w:t xml:space="preserve">Förderfähig sind Investitionen mit </w:t>
      </w:r>
      <w:r w:rsidRPr="0063768A">
        <w:rPr>
          <w:rFonts w:ascii="Arial" w:hAnsi="Arial" w:cs="Arial"/>
          <w:b/>
          <w:sz w:val="22"/>
          <w:szCs w:val="22"/>
        </w:rPr>
        <w:t>Gesamtkosten bis zu 5 Mio. Euro</w:t>
      </w:r>
      <w:r w:rsidR="00F01C43">
        <w:rPr>
          <w:rFonts w:ascii="Arial" w:hAnsi="Arial" w:cs="Arial"/>
          <w:b/>
          <w:sz w:val="22"/>
          <w:szCs w:val="22"/>
        </w:rPr>
        <w:t>.</w:t>
      </w:r>
    </w:p>
    <w:p w:rsidR="00B14183" w:rsidRPr="00C025E5" w:rsidRDefault="00B14183" w:rsidP="00B14183">
      <w:pPr>
        <w:pStyle w:val="Listenabsatz"/>
        <w:widowControl w:val="0"/>
        <w:numPr>
          <w:ilvl w:val="0"/>
          <w:numId w:val="3"/>
        </w:numPr>
        <w:tabs>
          <w:tab w:val="left" w:pos="1134"/>
        </w:tabs>
        <w:rPr>
          <w:rFonts w:ascii="Arial" w:hAnsi="Arial" w:cs="Arial"/>
          <w:sz w:val="22"/>
          <w:szCs w:val="22"/>
        </w:rPr>
      </w:pPr>
      <w:r w:rsidRPr="001E5C57">
        <w:rPr>
          <w:rFonts w:ascii="Arial" w:eastAsiaTheme="minorEastAsia" w:hAnsi="Arial" w:cs="Arial"/>
          <w:sz w:val="22"/>
          <w:szCs w:val="22"/>
        </w:rPr>
        <w:t>Es können nur Vorhaben durchgeführt werden, die in Übereinstimmung mit vorhandenen Plänen für die Entwicklung der Gemeinden und Dörfer in ländlichen Gebieten und im Einklang mit der jeweiligen integrierten Entwicklungsstrategie der LAG-AktivRegion</w:t>
      </w:r>
      <w:r>
        <w:rPr>
          <w:rFonts w:ascii="Arial" w:eastAsiaTheme="minorEastAsia" w:hAnsi="Arial" w:cs="Arial"/>
          <w:sz w:val="22"/>
          <w:szCs w:val="22"/>
        </w:rPr>
        <w:t xml:space="preserve"> oder jeder anderen einschlägigen lokalen Entwicklungsstrategie</w:t>
      </w:r>
      <w:r w:rsidRPr="001E5C57">
        <w:rPr>
          <w:rFonts w:ascii="Arial" w:eastAsiaTheme="minorEastAsia" w:hAnsi="Arial" w:cs="Arial"/>
          <w:sz w:val="22"/>
          <w:szCs w:val="22"/>
        </w:rPr>
        <w:t xml:space="preserve"> stehen.</w:t>
      </w:r>
    </w:p>
    <w:p w:rsidR="00C025E5" w:rsidRPr="00644C3B" w:rsidRDefault="00F01C43" w:rsidP="00C025E5">
      <w:pPr>
        <w:pStyle w:val="Anschrift"/>
        <w:tabs>
          <w:tab w:val="left" w:pos="6521"/>
        </w:tabs>
        <w:spacing w:before="200"/>
        <w:rPr>
          <w:rFonts w:cs="Arial"/>
          <w:sz w:val="22"/>
          <w:szCs w:val="22"/>
        </w:rPr>
      </w:pPr>
      <w:r>
        <w:rPr>
          <w:rFonts w:cs="Arial"/>
          <w:b/>
          <w:szCs w:val="24"/>
        </w:rPr>
        <w:t>Gesamtbudget</w:t>
      </w:r>
      <w:r w:rsidR="000D0026">
        <w:rPr>
          <w:rFonts w:cs="Arial"/>
          <w:b/>
          <w:szCs w:val="24"/>
        </w:rPr>
        <w:t xml:space="preserve"> 2014-2020</w:t>
      </w:r>
      <w:r w:rsidR="00C025E5">
        <w:rPr>
          <w:rFonts w:cs="Arial"/>
          <w:b/>
          <w:szCs w:val="24"/>
        </w:rPr>
        <w:t xml:space="preserve">: </w:t>
      </w:r>
      <w:r w:rsidR="00C025E5" w:rsidRPr="00F01C43">
        <w:rPr>
          <w:rFonts w:cs="Arial"/>
          <w:sz w:val="22"/>
          <w:szCs w:val="22"/>
        </w:rPr>
        <w:t xml:space="preserve">insgesamt </w:t>
      </w:r>
      <w:r w:rsidR="00866CB9" w:rsidRPr="00A51B5E">
        <w:rPr>
          <w:rFonts w:cs="Arial"/>
          <w:sz w:val="22"/>
          <w:szCs w:val="22"/>
        </w:rPr>
        <w:t>8,75</w:t>
      </w:r>
      <w:r w:rsidR="00C025E5" w:rsidRPr="00A51B5E">
        <w:rPr>
          <w:rFonts w:cs="Arial"/>
          <w:sz w:val="22"/>
          <w:szCs w:val="22"/>
        </w:rPr>
        <w:t xml:space="preserve"> Mio</w:t>
      </w:r>
      <w:r w:rsidR="00C025E5" w:rsidRPr="00F01C43">
        <w:rPr>
          <w:rFonts w:cs="Arial"/>
          <w:sz w:val="22"/>
          <w:szCs w:val="22"/>
        </w:rPr>
        <w:t>. ELER-Mittel</w:t>
      </w:r>
    </w:p>
    <w:tbl>
      <w:tblPr>
        <w:tblStyle w:val="Tabellenraster"/>
        <w:tblW w:w="5000" w:type="pct"/>
        <w:tblLayout w:type="fixed"/>
        <w:tblLook w:val="04A0" w:firstRow="1" w:lastRow="0" w:firstColumn="1" w:lastColumn="0" w:noHBand="0" w:noVBand="1"/>
      </w:tblPr>
      <w:tblGrid>
        <w:gridCol w:w="7111"/>
        <w:gridCol w:w="761"/>
        <w:gridCol w:w="1068"/>
        <w:gridCol w:w="1022"/>
      </w:tblGrid>
      <w:tr w:rsidR="00B14183" w:rsidRPr="00B14183" w:rsidTr="0086540B">
        <w:trPr>
          <w:trHeight w:val="425"/>
        </w:trPr>
        <w:tc>
          <w:tcPr>
            <w:tcW w:w="5000" w:type="pct"/>
            <w:gridSpan w:val="4"/>
            <w:shd w:val="clear" w:color="auto" w:fill="EEECE1" w:themeFill="background2"/>
          </w:tcPr>
          <w:p w:rsidR="00B14183" w:rsidRPr="00B14183" w:rsidRDefault="004E6718" w:rsidP="00595E69">
            <w:pPr>
              <w:spacing w:line="240" w:lineRule="auto"/>
              <w:rPr>
                <w:rFonts w:eastAsiaTheme="minorEastAsia" w:cs="Arial"/>
                <w:b/>
                <w:szCs w:val="24"/>
                <w:lang w:eastAsia="zh-CN"/>
              </w:rPr>
            </w:pPr>
            <w:r w:rsidRPr="004E6718">
              <w:rPr>
                <w:rFonts w:eastAsiaTheme="minorEastAsia" w:cs="Arial"/>
                <w:b/>
                <w:szCs w:val="24"/>
                <w:lang w:eastAsia="zh-CN"/>
              </w:rPr>
              <w:lastRenderedPageBreak/>
              <w:t>Auswahlkriterien</w:t>
            </w:r>
            <w:r w:rsidRPr="00B14183">
              <w:rPr>
                <w:rFonts w:eastAsiaTheme="minorEastAsia" w:cs="Arial"/>
                <w:b/>
                <w:szCs w:val="24"/>
                <w:lang w:eastAsia="zh-CN"/>
              </w:rPr>
              <w:t xml:space="preserve"> </w:t>
            </w:r>
            <w:r w:rsidR="00B14183" w:rsidRPr="00B14183">
              <w:rPr>
                <w:rFonts w:eastAsiaTheme="minorEastAsia" w:cs="Arial"/>
                <w:b/>
                <w:szCs w:val="24"/>
                <w:lang w:eastAsia="zh-CN"/>
              </w:rPr>
              <w:t>Maßnahme 7.6</w:t>
            </w:r>
            <w:r w:rsidR="00595E69">
              <w:rPr>
                <w:rFonts w:eastAsiaTheme="minorEastAsia" w:cs="Arial"/>
                <w:b/>
                <w:szCs w:val="24"/>
                <w:lang w:eastAsia="zh-CN"/>
              </w:rPr>
              <w:t>.1</w:t>
            </w:r>
            <w:r w:rsidR="00B14183" w:rsidRPr="00B14183">
              <w:rPr>
                <w:rFonts w:eastAsiaTheme="minorEastAsia" w:cs="Arial"/>
                <w:b/>
                <w:szCs w:val="24"/>
                <w:lang w:eastAsia="zh-CN"/>
              </w:rPr>
              <w:t xml:space="preserve"> </w:t>
            </w:r>
            <w:r w:rsidR="00595E69">
              <w:rPr>
                <w:rFonts w:eastAsiaTheme="minorEastAsia" w:cs="Arial"/>
                <w:b/>
                <w:szCs w:val="24"/>
                <w:lang w:eastAsia="zh-CN"/>
              </w:rPr>
              <w:t>Erhaltung des kulturellen Erbes</w:t>
            </w:r>
          </w:p>
        </w:tc>
      </w:tr>
      <w:tr w:rsidR="00B14183" w:rsidRPr="00B14183" w:rsidTr="0086540B">
        <w:tc>
          <w:tcPr>
            <w:tcW w:w="3569" w:type="pct"/>
            <w:tcBorders>
              <w:bottom w:val="single" w:sz="4" w:space="0" w:color="auto"/>
            </w:tcBorders>
            <w:shd w:val="clear" w:color="auto" w:fill="EEECE1" w:themeFill="background2"/>
          </w:tcPr>
          <w:p w:rsidR="00B14183" w:rsidRPr="003F02AA" w:rsidRDefault="00B14183" w:rsidP="00963C62">
            <w:pPr>
              <w:spacing w:line="240" w:lineRule="auto"/>
              <w:rPr>
                <w:rFonts w:eastAsiaTheme="minorEastAsia" w:cs="Arial"/>
                <w:b/>
                <w:sz w:val="22"/>
                <w:szCs w:val="22"/>
                <w:lang w:eastAsia="zh-CN"/>
              </w:rPr>
            </w:pPr>
          </w:p>
        </w:tc>
        <w:tc>
          <w:tcPr>
            <w:tcW w:w="382" w:type="pct"/>
            <w:tcBorders>
              <w:bottom w:val="single" w:sz="4" w:space="0" w:color="auto"/>
            </w:tcBorders>
            <w:shd w:val="clear" w:color="auto" w:fill="EEECE1" w:themeFill="background2"/>
          </w:tcPr>
          <w:p w:rsidR="00B14183" w:rsidRPr="00B14183" w:rsidRDefault="00B14183" w:rsidP="00B14183">
            <w:pPr>
              <w:spacing w:line="240" w:lineRule="auto"/>
              <w:rPr>
                <w:rFonts w:ascii="Arial Narrow" w:eastAsiaTheme="minorEastAsia" w:hAnsi="Arial Narrow" w:cs="Arial"/>
                <w:b/>
                <w:sz w:val="18"/>
                <w:szCs w:val="18"/>
                <w:lang w:eastAsia="zh-CN"/>
              </w:rPr>
            </w:pPr>
            <w:r w:rsidRPr="00B14183">
              <w:rPr>
                <w:rFonts w:ascii="Arial Narrow" w:eastAsiaTheme="minorEastAsia" w:hAnsi="Arial Narrow" w:cs="Arial"/>
                <w:b/>
                <w:sz w:val="18"/>
                <w:szCs w:val="18"/>
                <w:lang w:eastAsia="zh-CN"/>
              </w:rPr>
              <w:t xml:space="preserve">Faktor </w:t>
            </w:r>
          </w:p>
        </w:tc>
        <w:tc>
          <w:tcPr>
            <w:tcW w:w="536" w:type="pct"/>
            <w:tcBorders>
              <w:bottom w:val="single" w:sz="4" w:space="0" w:color="auto"/>
            </w:tcBorders>
            <w:shd w:val="clear" w:color="auto" w:fill="EEECE1" w:themeFill="background2"/>
          </w:tcPr>
          <w:p w:rsidR="00B14183" w:rsidRPr="00B14183" w:rsidRDefault="00B14183" w:rsidP="00B14183">
            <w:pPr>
              <w:spacing w:line="240" w:lineRule="auto"/>
              <w:rPr>
                <w:rFonts w:ascii="Arial Narrow" w:eastAsiaTheme="minorEastAsia" w:hAnsi="Arial Narrow" w:cs="Arial"/>
                <w:b/>
                <w:sz w:val="18"/>
                <w:szCs w:val="18"/>
                <w:lang w:eastAsia="zh-CN"/>
              </w:rPr>
            </w:pPr>
            <w:r w:rsidRPr="00B14183">
              <w:rPr>
                <w:rFonts w:ascii="Arial Narrow" w:eastAsiaTheme="minorEastAsia" w:hAnsi="Arial Narrow" w:cs="Arial"/>
                <w:b/>
                <w:sz w:val="18"/>
                <w:szCs w:val="18"/>
                <w:lang w:eastAsia="zh-CN"/>
              </w:rPr>
              <w:t xml:space="preserve">Punkte </w:t>
            </w:r>
            <w:r w:rsidRPr="00B14183">
              <w:rPr>
                <w:rFonts w:ascii="Arial Narrow" w:eastAsiaTheme="minorEastAsia" w:hAnsi="Arial Narrow" w:cs="Arial"/>
                <w:b/>
                <w:sz w:val="18"/>
                <w:szCs w:val="18"/>
                <w:lang w:eastAsia="zh-CN"/>
              </w:rPr>
              <w:br/>
              <w:t xml:space="preserve">(0= trifft nicht zu, </w:t>
            </w:r>
            <w:r w:rsidRPr="00B14183">
              <w:rPr>
                <w:rFonts w:ascii="Arial Narrow" w:eastAsiaTheme="minorEastAsia" w:hAnsi="Arial Narrow" w:cs="Arial"/>
                <w:b/>
                <w:sz w:val="18"/>
                <w:szCs w:val="18"/>
                <w:lang w:eastAsia="zh-CN"/>
              </w:rPr>
              <w:br/>
              <w:t>1= trifft zu)</w:t>
            </w:r>
          </w:p>
        </w:tc>
        <w:tc>
          <w:tcPr>
            <w:tcW w:w="513" w:type="pct"/>
            <w:tcBorders>
              <w:bottom w:val="single" w:sz="4" w:space="0" w:color="auto"/>
            </w:tcBorders>
            <w:shd w:val="clear" w:color="auto" w:fill="EEECE1" w:themeFill="background2"/>
          </w:tcPr>
          <w:p w:rsidR="00B14183" w:rsidRPr="00B14183" w:rsidRDefault="00B14183" w:rsidP="00B14183">
            <w:pPr>
              <w:spacing w:line="240" w:lineRule="auto"/>
              <w:rPr>
                <w:rFonts w:ascii="Arial Narrow" w:eastAsiaTheme="minorEastAsia" w:hAnsi="Arial Narrow" w:cs="Arial"/>
                <w:b/>
                <w:sz w:val="18"/>
                <w:szCs w:val="18"/>
                <w:lang w:eastAsia="zh-CN"/>
              </w:rPr>
            </w:pPr>
            <w:r w:rsidRPr="00B14183">
              <w:rPr>
                <w:rFonts w:ascii="Arial Narrow" w:eastAsiaTheme="minorEastAsia" w:hAnsi="Arial Narrow" w:cs="Arial"/>
                <w:b/>
                <w:sz w:val="18"/>
                <w:szCs w:val="18"/>
                <w:lang w:eastAsia="zh-CN"/>
              </w:rPr>
              <w:t>Ergebnis je Kriterium</w:t>
            </w:r>
          </w:p>
        </w:tc>
      </w:tr>
      <w:tr w:rsidR="00B14183" w:rsidRPr="00B14183" w:rsidTr="00B15947">
        <w:tc>
          <w:tcPr>
            <w:tcW w:w="3569" w:type="pct"/>
            <w:tcBorders>
              <w:top w:val="single" w:sz="4" w:space="0" w:color="auto"/>
            </w:tcBorders>
          </w:tcPr>
          <w:p w:rsidR="00B14183" w:rsidRPr="00B14183" w:rsidRDefault="00963C62" w:rsidP="006042EB">
            <w:pPr>
              <w:numPr>
                <w:ilvl w:val="0"/>
                <w:numId w:val="6"/>
              </w:numPr>
              <w:spacing w:before="240" w:after="120" w:line="240" w:lineRule="auto"/>
              <w:ind w:left="425" w:hanging="425"/>
              <w:contextualSpacing/>
              <w:rPr>
                <w:rFonts w:eastAsiaTheme="minorEastAsia" w:cs="Arial"/>
                <w:sz w:val="22"/>
                <w:szCs w:val="22"/>
                <w:lang w:eastAsia="zh-CN"/>
              </w:rPr>
            </w:pPr>
            <w:r>
              <w:rPr>
                <w:rFonts w:eastAsiaTheme="minorEastAsia" w:cs="Arial"/>
                <w:sz w:val="22"/>
                <w:szCs w:val="22"/>
                <w:lang w:eastAsia="zh-CN"/>
              </w:rPr>
              <w:t>Vorhaben</w:t>
            </w:r>
            <w:r w:rsidR="00B14183" w:rsidRPr="00B14183">
              <w:rPr>
                <w:rFonts w:eastAsiaTheme="minorEastAsia" w:cs="Arial"/>
                <w:sz w:val="22"/>
                <w:szCs w:val="22"/>
                <w:lang w:eastAsia="zh-CN"/>
              </w:rPr>
              <w:t xml:space="preserve"> beinhaltet </w:t>
            </w:r>
            <w:r w:rsidR="00B14183" w:rsidRPr="00B14183">
              <w:rPr>
                <w:rFonts w:eastAsiaTheme="minorEastAsia" w:cs="Arial"/>
                <w:b/>
                <w:sz w:val="22"/>
                <w:szCs w:val="22"/>
                <w:lang w:eastAsia="zh-CN"/>
              </w:rPr>
              <w:t>neue</w:t>
            </w:r>
            <w:r w:rsidR="00B14183" w:rsidRPr="00B14183">
              <w:rPr>
                <w:rFonts w:eastAsiaTheme="minorEastAsia" w:cs="Arial"/>
                <w:sz w:val="22"/>
                <w:szCs w:val="22"/>
                <w:lang w:eastAsia="zh-CN"/>
              </w:rPr>
              <w:t xml:space="preserve"> </w:t>
            </w:r>
            <w:r w:rsidR="00B14183" w:rsidRPr="00B14183">
              <w:rPr>
                <w:rFonts w:eastAsiaTheme="minorEastAsia" w:cs="Arial"/>
                <w:b/>
                <w:sz w:val="22"/>
                <w:szCs w:val="22"/>
                <w:lang w:eastAsia="zh-CN"/>
              </w:rPr>
              <w:t xml:space="preserve">Kooperationen, </w:t>
            </w:r>
            <w:r w:rsidR="00B14183" w:rsidRPr="00B14183">
              <w:rPr>
                <w:rFonts w:eastAsiaTheme="minorEastAsia" w:cs="Arial"/>
                <w:b/>
                <w:sz w:val="22"/>
                <w:szCs w:val="22"/>
                <w:lang w:eastAsia="zh-CN"/>
              </w:rPr>
              <w:br/>
            </w:r>
            <w:r w:rsidR="00B14183" w:rsidRPr="00B14183">
              <w:rPr>
                <w:rFonts w:eastAsiaTheme="minorEastAsia" w:cs="Arial"/>
                <w:sz w:val="22"/>
                <w:szCs w:val="22"/>
                <w:lang w:eastAsia="zh-CN"/>
              </w:rPr>
              <w:t>nachzuweisen über schriftliche Vereinbarungen zur finanziellen, organisatorischen oder inhaltlichen Kooperation</w:t>
            </w:r>
          </w:p>
        </w:tc>
        <w:tc>
          <w:tcPr>
            <w:tcW w:w="382" w:type="pct"/>
            <w:tcBorders>
              <w:top w:val="single" w:sz="4" w:space="0" w:color="auto"/>
            </w:tcBorders>
          </w:tcPr>
          <w:p w:rsidR="00B14183" w:rsidRPr="00B14183" w:rsidRDefault="00B14183" w:rsidP="00B14183">
            <w:pPr>
              <w:spacing w:line="240" w:lineRule="auto"/>
              <w:rPr>
                <w:rFonts w:eastAsiaTheme="minorEastAsia" w:cs="Arial"/>
                <w:sz w:val="22"/>
                <w:szCs w:val="22"/>
                <w:lang w:eastAsia="zh-CN"/>
              </w:rPr>
            </w:pPr>
          </w:p>
        </w:tc>
        <w:tc>
          <w:tcPr>
            <w:tcW w:w="536" w:type="pct"/>
            <w:tcBorders>
              <w:top w:val="single" w:sz="4" w:space="0" w:color="auto"/>
            </w:tcBorders>
          </w:tcPr>
          <w:p w:rsidR="00B14183" w:rsidRPr="00B14183" w:rsidRDefault="00B14183" w:rsidP="00B14183">
            <w:pPr>
              <w:spacing w:line="240" w:lineRule="auto"/>
              <w:rPr>
                <w:rFonts w:eastAsiaTheme="minorEastAsia" w:cs="Arial"/>
                <w:sz w:val="22"/>
                <w:szCs w:val="22"/>
                <w:lang w:eastAsia="zh-CN"/>
              </w:rPr>
            </w:pPr>
          </w:p>
        </w:tc>
        <w:tc>
          <w:tcPr>
            <w:tcW w:w="513" w:type="pct"/>
            <w:tcBorders>
              <w:top w:val="single" w:sz="4" w:space="0" w:color="auto"/>
            </w:tcBorders>
          </w:tcPr>
          <w:p w:rsidR="00B14183" w:rsidRPr="00B14183" w:rsidRDefault="00B14183" w:rsidP="00B14183">
            <w:pPr>
              <w:spacing w:line="240" w:lineRule="auto"/>
              <w:rPr>
                <w:rFonts w:ascii="Arial Narrow" w:eastAsiaTheme="minorEastAsia" w:hAnsi="Arial Narrow" w:cs="Arial"/>
                <w:sz w:val="22"/>
                <w:szCs w:val="22"/>
                <w:lang w:eastAsia="zh-CN"/>
              </w:rPr>
            </w:pPr>
            <w:r w:rsidRPr="00B14183">
              <w:rPr>
                <w:rFonts w:ascii="Arial Narrow" w:eastAsiaTheme="minorEastAsia" w:hAnsi="Arial Narrow" w:cs="Arial"/>
                <w:sz w:val="22"/>
                <w:szCs w:val="22"/>
                <w:lang w:eastAsia="zh-CN"/>
              </w:rPr>
              <w:t>max. 4 Punkte</w:t>
            </w:r>
          </w:p>
        </w:tc>
      </w:tr>
      <w:tr w:rsidR="00B14183" w:rsidRPr="00B14183" w:rsidTr="00B15947">
        <w:trPr>
          <w:trHeight w:val="196"/>
        </w:trPr>
        <w:tc>
          <w:tcPr>
            <w:tcW w:w="3569" w:type="pct"/>
          </w:tcPr>
          <w:p w:rsidR="00B14183" w:rsidRPr="00B14183" w:rsidRDefault="00B14183" w:rsidP="00B14183">
            <w:pPr>
              <w:numPr>
                <w:ilvl w:val="0"/>
                <w:numId w:val="7"/>
              </w:numPr>
              <w:spacing w:line="240" w:lineRule="auto"/>
              <w:ind w:hanging="294"/>
              <w:contextualSpacing/>
              <w:rPr>
                <w:rFonts w:eastAsiaTheme="minorEastAsia" w:cs="Arial"/>
                <w:sz w:val="22"/>
                <w:szCs w:val="22"/>
                <w:lang w:eastAsia="zh-CN"/>
              </w:rPr>
            </w:pPr>
            <w:r w:rsidRPr="00B14183">
              <w:rPr>
                <w:rFonts w:eastAsiaTheme="minorEastAsia" w:cs="Arial"/>
                <w:sz w:val="22"/>
                <w:szCs w:val="22"/>
                <w:lang w:eastAsia="zh-CN"/>
              </w:rPr>
              <w:t xml:space="preserve">1 – 2 Partner                                                               </w:t>
            </w:r>
            <w:r w:rsidRPr="00B14183">
              <w:rPr>
                <w:rFonts w:eastAsiaTheme="minorEastAsia" w:cs="Arial"/>
                <w:i/>
                <w:sz w:val="22"/>
                <w:szCs w:val="22"/>
                <w:lang w:eastAsia="zh-CN"/>
              </w:rPr>
              <w:t>oder</w:t>
            </w:r>
            <w:r w:rsidRPr="00B14183">
              <w:rPr>
                <w:rFonts w:eastAsiaTheme="minorEastAsia" w:cs="Arial"/>
                <w:sz w:val="22"/>
                <w:szCs w:val="22"/>
                <w:lang w:eastAsia="zh-CN"/>
              </w:rPr>
              <w:t xml:space="preserve">   </w:t>
            </w:r>
          </w:p>
        </w:tc>
        <w:tc>
          <w:tcPr>
            <w:tcW w:w="382" w:type="pct"/>
          </w:tcPr>
          <w:p w:rsidR="00B14183" w:rsidRPr="00B14183" w:rsidRDefault="00B14183" w:rsidP="00B14183">
            <w:pPr>
              <w:spacing w:line="240" w:lineRule="auto"/>
              <w:rPr>
                <w:rFonts w:eastAsiaTheme="minorEastAsia" w:cs="Arial"/>
                <w:sz w:val="22"/>
                <w:szCs w:val="22"/>
                <w:lang w:eastAsia="zh-CN"/>
              </w:rPr>
            </w:pPr>
            <w:r w:rsidRPr="00B14183">
              <w:rPr>
                <w:rFonts w:eastAsiaTheme="minorEastAsia" w:cs="Arial"/>
                <w:sz w:val="22"/>
                <w:szCs w:val="22"/>
                <w:lang w:eastAsia="zh-CN"/>
              </w:rPr>
              <w:t>2*</w:t>
            </w:r>
          </w:p>
        </w:tc>
        <w:tc>
          <w:tcPr>
            <w:tcW w:w="536" w:type="pct"/>
          </w:tcPr>
          <w:p w:rsidR="00B14183" w:rsidRPr="00B14183" w:rsidRDefault="00B14183" w:rsidP="00B14183">
            <w:pPr>
              <w:spacing w:line="240" w:lineRule="auto"/>
              <w:rPr>
                <w:rFonts w:eastAsiaTheme="minorEastAsia" w:cs="Arial"/>
                <w:sz w:val="22"/>
                <w:szCs w:val="22"/>
                <w:lang w:eastAsia="zh-CN"/>
              </w:rPr>
            </w:pPr>
            <w:r w:rsidRPr="00B14183">
              <w:rPr>
                <w:rFonts w:eastAsiaTheme="minorEastAsia" w:cs="Arial"/>
                <w:sz w:val="22"/>
                <w:szCs w:val="22"/>
                <w:lang w:eastAsia="zh-CN"/>
              </w:rPr>
              <w:t>0/1</w:t>
            </w:r>
          </w:p>
        </w:tc>
        <w:tc>
          <w:tcPr>
            <w:tcW w:w="513" w:type="pct"/>
          </w:tcPr>
          <w:p w:rsidR="00B14183" w:rsidRPr="00B14183" w:rsidRDefault="00B14183" w:rsidP="00B14183">
            <w:pPr>
              <w:spacing w:line="240" w:lineRule="auto"/>
              <w:rPr>
                <w:rFonts w:ascii="Arial Narrow" w:eastAsiaTheme="minorEastAsia" w:hAnsi="Arial Narrow" w:cs="Arial"/>
                <w:sz w:val="22"/>
                <w:szCs w:val="22"/>
                <w:lang w:eastAsia="zh-CN"/>
              </w:rPr>
            </w:pPr>
          </w:p>
        </w:tc>
      </w:tr>
      <w:tr w:rsidR="00B14183" w:rsidRPr="00B14183" w:rsidTr="00B15947">
        <w:tc>
          <w:tcPr>
            <w:tcW w:w="3569" w:type="pct"/>
          </w:tcPr>
          <w:p w:rsidR="00B14183" w:rsidRPr="00B14183" w:rsidRDefault="00B14183" w:rsidP="00850018">
            <w:pPr>
              <w:spacing w:line="240" w:lineRule="auto"/>
              <w:rPr>
                <w:rFonts w:eastAsiaTheme="minorEastAsia" w:cs="Arial"/>
                <w:sz w:val="22"/>
                <w:szCs w:val="22"/>
                <w:lang w:eastAsia="zh-CN"/>
              </w:rPr>
            </w:pPr>
            <w:r w:rsidRPr="00B14183">
              <w:rPr>
                <w:rFonts w:eastAsiaTheme="minorEastAsia" w:cs="Arial"/>
                <w:sz w:val="22"/>
                <w:szCs w:val="22"/>
                <w:lang w:eastAsia="zh-CN"/>
              </w:rPr>
              <w:t xml:space="preserve">       </w:t>
            </w:r>
            <w:r w:rsidR="00850018">
              <w:rPr>
                <w:rFonts w:eastAsiaTheme="minorEastAsia" w:cs="Arial"/>
                <w:sz w:val="22"/>
                <w:szCs w:val="22"/>
                <w:lang w:eastAsia="zh-CN"/>
              </w:rPr>
              <w:t>b)</w:t>
            </w:r>
            <w:r w:rsidRPr="00B14183">
              <w:rPr>
                <w:rFonts w:eastAsiaTheme="minorEastAsia" w:cs="Arial"/>
                <w:sz w:val="22"/>
                <w:szCs w:val="22"/>
                <w:lang w:eastAsia="zh-CN"/>
              </w:rPr>
              <w:t xml:space="preserve">  mind. 3 Partner</w:t>
            </w:r>
          </w:p>
        </w:tc>
        <w:tc>
          <w:tcPr>
            <w:tcW w:w="382" w:type="pct"/>
          </w:tcPr>
          <w:p w:rsidR="00B14183" w:rsidRPr="00B14183" w:rsidRDefault="00B14183" w:rsidP="00B14183">
            <w:pPr>
              <w:spacing w:line="240" w:lineRule="auto"/>
              <w:rPr>
                <w:rFonts w:eastAsiaTheme="minorEastAsia" w:cs="Arial"/>
                <w:sz w:val="22"/>
                <w:szCs w:val="22"/>
                <w:lang w:eastAsia="zh-CN"/>
              </w:rPr>
            </w:pPr>
            <w:r w:rsidRPr="00B14183">
              <w:rPr>
                <w:rFonts w:eastAsiaTheme="minorEastAsia" w:cs="Arial"/>
                <w:sz w:val="22"/>
                <w:szCs w:val="22"/>
                <w:lang w:eastAsia="zh-CN"/>
              </w:rPr>
              <w:t>4*</w:t>
            </w:r>
          </w:p>
        </w:tc>
        <w:tc>
          <w:tcPr>
            <w:tcW w:w="536" w:type="pct"/>
          </w:tcPr>
          <w:p w:rsidR="00B14183" w:rsidRPr="00B14183" w:rsidRDefault="00B14183" w:rsidP="00B14183">
            <w:pPr>
              <w:spacing w:line="240" w:lineRule="auto"/>
              <w:rPr>
                <w:rFonts w:eastAsiaTheme="minorEastAsia" w:cs="Arial"/>
                <w:sz w:val="22"/>
                <w:szCs w:val="22"/>
                <w:lang w:eastAsia="zh-CN"/>
              </w:rPr>
            </w:pPr>
            <w:r w:rsidRPr="00B14183">
              <w:rPr>
                <w:rFonts w:eastAsiaTheme="minorEastAsia" w:cs="Arial"/>
                <w:sz w:val="22"/>
                <w:szCs w:val="22"/>
                <w:lang w:eastAsia="zh-CN"/>
              </w:rPr>
              <w:t>0/1</w:t>
            </w:r>
          </w:p>
        </w:tc>
        <w:tc>
          <w:tcPr>
            <w:tcW w:w="513" w:type="pct"/>
          </w:tcPr>
          <w:p w:rsidR="00B14183" w:rsidRPr="00B14183" w:rsidRDefault="00B14183" w:rsidP="00B14183">
            <w:pPr>
              <w:spacing w:line="240" w:lineRule="auto"/>
              <w:rPr>
                <w:rFonts w:ascii="Arial Narrow" w:eastAsiaTheme="minorEastAsia" w:hAnsi="Arial Narrow" w:cs="Arial"/>
                <w:sz w:val="22"/>
                <w:szCs w:val="22"/>
                <w:lang w:eastAsia="zh-CN"/>
              </w:rPr>
            </w:pPr>
          </w:p>
        </w:tc>
      </w:tr>
      <w:tr w:rsidR="00B14183" w:rsidRPr="00B14183" w:rsidTr="00B15947">
        <w:tc>
          <w:tcPr>
            <w:tcW w:w="5000" w:type="pct"/>
            <w:gridSpan w:val="4"/>
          </w:tcPr>
          <w:p w:rsidR="00B14183" w:rsidRPr="00B14183" w:rsidRDefault="00B14183" w:rsidP="00B14183">
            <w:pPr>
              <w:spacing w:line="240" w:lineRule="auto"/>
              <w:rPr>
                <w:rFonts w:ascii="Arial Narrow" w:eastAsiaTheme="minorEastAsia" w:hAnsi="Arial Narrow" w:cs="Arial"/>
                <w:sz w:val="22"/>
                <w:szCs w:val="22"/>
                <w:lang w:eastAsia="zh-CN"/>
              </w:rPr>
            </w:pPr>
          </w:p>
        </w:tc>
      </w:tr>
      <w:tr w:rsidR="00B14183" w:rsidRPr="00B14183" w:rsidTr="00B15947">
        <w:tc>
          <w:tcPr>
            <w:tcW w:w="3569" w:type="pct"/>
          </w:tcPr>
          <w:p w:rsidR="00B14183" w:rsidRPr="00B14183" w:rsidRDefault="00963C62" w:rsidP="00B14183">
            <w:pPr>
              <w:numPr>
                <w:ilvl w:val="0"/>
                <w:numId w:val="6"/>
              </w:numPr>
              <w:spacing w:line="240" w:lineRule="auto"/>
              <w:ind w:left="426" w:hanging="426"/>
              <w:contextualSpacing/>
              <w:rPr>
                <w:rFonts w:eastAsiaTheme="minorEastAsia" w:cs="Arial"/>
                <w:sz w:val="22"/>
                <w:szCs w:val="22"/>
                <w:lang w:eastAsia="zh-CN"/>
              </w:rPr>
            </w:pPr>
            <w:r>
              <w:rPr>
                <w:rFonts w:eastAsiaTheme="minorEastAsia" w:cs="Arial"/>
                <w:sz w:val="22"/>
                <w:szCs w:val="22"/>
                <w:lang w:eastAsia="zh-CN"/>
              </w:rPr>
              <w:t>Vorhaben</w:t>
            </w:r>
            <w:r w:rsidR="00B14183" w:rsidRPr="00B14183">
              <w:rPr>
                <w:rFonts w:eastAsiaTheme="minorEastAsia" w:cs="Arial"/>
                <w:sz w:val="22"/>
                <w:szCs w:val="22"/>
                <w:lang w:eastAsia="zh-CN"/>
              </w:rPr>
              <w:t xml:space="preserve"> </w:t>
            </w:r>
            <w:r w:rsidR="00B14183" w:rsidRPr="00B14183">
              <w:rPr>
                <w:rFonts w:eastAsiaTheme="minorEastAsia" w:cs="Arial"/>
                <w:b/>
                <w:sz w:val="22"/>
                <w:szCs w:val="22"/>
                <w:lang w:eastAsia="zh-CN"/>
              </w:rPr>
              <w:t>sensibilisiert eine bedeutsame Anzahl von Nutzern für das Thema Kulturerbe / kulturelle Identität,</w:t>
            </w:r>
            <w:r w:rsidR="00B14183" w:rsidRPr="00B14183">
              <w:rPr>
                <w:rFonts w:eastAsiaTheme="minorEastAsia" w:cs="Arial"/>
                <w:b/>
                <w:sz w:val="22"/>
                <w:szCs w:val="22"/>
                <w:lang w:eastAsia="zh-CN"/>
              </w:rPr>
              <w:br/>
            </w:r>
            <w:r w:rsidR="00B14183" w:rsidRPr="00B14183">
              <w:rPr>
                <w:rFonts w:eastAsiaTheme="minorEastAsia" w:cs="Arial"/>
                <w:sz w:val="22"/>
                <w:szCs w:val="22"/>
                <w:lang w:eastAsia="zh-CN"/>
              </w:rPr>
              <w:t>zugrunde gelegt werden die Prognosewerte der Machbarkeitsstudie über die Anzahl der Nutzer bzw. Nutzungen des Vorhabens nach der Umsetzung</w:t>
            </w:r>
          </w:p>
        </w:tc>
        <w:tc>
          <w:tcPr>
            <w:tcW w:w="382" w:type="pct"/>
          </w:tcPr>
          <w:p w:rsidR="00B14183" w:rsidRPr="00B14183" w:rsidRDefault="00B14183" w:rsidP="00B14183">
            <w:pPr>
              <w:spacing w:line="240" w:lineRule="auto"/>
              <w:rPr>
                <w:rFonts w:eastAsiaTheme="minorEastAsia" w:cs="Arial"/>
                <w:sz w:val="22"/>
                <w:szCs w:val="22"/>
                <w:lang w:eastAsia="zh-CN"/>
              </w:rPr>
            </w:pPr>
          </w:p>
        </w:tc>
        <w:tc>
          <w:tcPr>
            <w:tcW w:w="536" w:type="pct"/>
          </w:tcPr>
          <w:p w:rsidR="00B14183" w:rsidRPr="00B14183" w:rsidRDefault="00B14183" w:rsidP="00B14183">
            <w:pPr>
              <w:spacing w:line="240" w:lineRule="auto"/>
              <w:rPr>
                <w:rFonts w:eastAsiaTheme="minorEastAsia" w:cs="Arial"/>
                <w:sz w:val="22"/>
                <w:szCs w:val="22"/>
                <w:lang w:eastAsia="zh-CN"/>
              </w:rPr>
            </w:pPr>
          </w:p>
        </w:tc>
        <w:tc>
          <w:tcPr>
            <w:tcW w:w="513" w:type="pct"/>
          </w:tcPr>
          <w:p w:rsidR="00B14183" w:rsidRPr="00B14183" w:rsidRDefault="00B14183" w:rsidP="00B14183">
            <w:pPr>
              <w:spacing w:line="240" w:lineRule="auto"/>
              <w:rPr>
                <w:rFonts w:ascii="Arial Narrow" w:eastAsiaTheme="minorEastAsia" w:hAnsi="Arial Narrow" w:cs="Arial"/>
                <w:sz w:val="22"/>
                <w:szCs w:val="22"/>
                <w:lang w:eastAsia="zh-CN"/>
              </w:rPr>
            </w:pPr>
            <w:r w:rsidRPr="00B14183">
              <w:rPr>
                <w:rFonts w:ascii="Arial Narrow" w:eastAsiaTheme="minorEastAsia" w:hAnsi="Arial Narrow" w:cs="Arial"/>
                <w:sz w:val="22"/>
                <w:szCs w:val="22"/>
                <w:lang w:eastAsia="zh-CN"/>
              </w:rPr>
              <w:t>max. 3 Punkte</w:t>
            </w:r>
          </w:p>
        </w:tc>
      </w:tr>
      <w:tr w:rsidR="00B14183" w:rsidRPr="00B14183" w:rsidTr="00B15947">
        <w:tc>
          <w:tcPr>
            <w:tcW w:w="3569" w:type="pct"/>
          </w:tcPr>
          <w:p w:rsidR="00B14183" w:rsidRPr="00B14183" w:rsidRDefault="00B14183" w:rsidP="00B14183">
            <w:pPr>
              <w:spacing w:line="240" w:lineRule="auto"/>
              <w:rPr>
                <w:rFonts w:eastAsiaTheme="minorEastAsia" w:cs="Arial"/>
                <w:sz w:val="22"/>
                <w:szCs w:val="22"/>
                <w:lang w:eastAsia="zh-CN"/>
              </w:rPr>
            </w:pPr>
            <w:r w:rsidRPr="00B14183">
              <w:rPr>
                <w:rFonts w:eastAsiaTheme="minorEastAsia" w:cs="Arial"/>
                <w:sz w:val="22"/>
                <w:szCs w:val="22"/>
                <w:lang w:eastAsia="zh-CN"/>
              </w:rPr>
              <w:t xml:space="preserve">       a) 1000 bis 20.000 Nutzer pro Jahr                      </w:t>
            </w:r>
            <w:r w:rsidRPr="00B14183">
              <w:rPr>
                <w:rFonts w:eastAsiaTheme="minorEastAsia" w:cs="Arial"/>
                <w:i/>
                <w:sz w:val="22"/>
                <w:szCs w:val="22"/>
                <w:lang w:eastAsia="zh-CN"/>
              </w:rPr>
              <w:t>oder</w:t>
            </w:r>
          </w:p>
        </w:tc>
        <w:tc>
          <w:tcPr>
            <w:tcW w:w="382" w:type="pct"/>
          </w:tcPr>
          <w:p w:rsidR="00B14183" w:rsidRPr="00B14183" w:rsidRDefault="00B14183" w:rsidP="00B14183">
            <w:pPr>
              <w:spacing w:line="240" w:lineRule="auto"/>
              <w:rPr>
                <w:rFonts w:eastAsiaTheme="minorEastAsia" w:cs="Arial"/>
                <w:sz w:val="22"/>
                <w:szCs w:val="22"/>
                <w:lang w:eastAsia="zh-CN"/>
              </w:rPr>
            </w:pPr>
            <w:r w:rsidRPr="00B14183">
              <w:rPr>
                <w:rFonts w:eastAsiaTheme="minorEastAsia" w:cs="Arial"/>
                <w:sz w:val="22"/>
                <w:szCs w:val="22"/>
                <w:lang w:eastAsia="zh-CN"/>
              </w:rPr>
              <w:t>1*</w:t>
            </w:r>
          </w:p>
        </w:tc>
        <w:tc>
          <w:tcPr>
            <w:tcW w:w="536" w:type="pct"/>
          </w:tcPr>
          <w:p w:rsidR="00B14183" w:rsidRPr="00B14183" w:rsidRDefault="00B14183" w:rsidP="00B14183">
            <w:pPr>
              <w:spacing w:line="240" w:lineRule="auto"/>
              <w:rPr>
                <w:rFonts w:eastAsiaTheme="minorEastAsia" w:cs="Arial"/>
                <w:sz w:val="22"/>
                <w:szCs w:val="22"/>
                <w:lang w:eastAsia="zh-CN"/>
              </w:rPr>
            </w:pPr>
            <w:r w:rsidRPr="00B14183">
              <w:rPr>
                <w:rFonts w:eastAsiaTheme="minorEastAsia" w:cs="Arial"/>
                <w:sz w:val="22"/>
                <w:szCs w:val="22"/>
                <w:lang w:eastAsia="zh-CN"/>
              </w:rPr>
              <w:t>0/1</w:t>
            </w:r>
          </w:p>
        </w:tc>
        <w:tc>
          <w:tcPr>
            <w:tcW w:w="513" w:type="pct"/>
          </w:tcPr>
          <w:p w:rsidR="00B14183" w:rsidRPr="00B14183" w:rsidRDefault="00B14183" w:rsidP="00B14183">
            <w:pPr>
              <w:spacing w:line="240" w:lineRule="auto"/>
              <w:rPr>
                <w:rFonts w:ascii="Arial Narrow" w:eastAsiaTheme="minorEastAsia" w:hAnsi="Arial Narrow" w:cs="Arial"/>
                <w:sz w:val="22"/>
                <w:szCs w:val="22"/>
                <w:lang w:eastAsia="zh-CN"/>
              </w:rPr>
            </w:pPr>
          </w:p>
        </w:tc>
      </w:tr>
      <w:tr w:rsidR="00B14183" w:rsidRPr="00B14183" w:rsidTr="00B15947">
        <w:tc>
          <w:tcPr>
            <w:tcW w:w="3569" w:type="pct"/>
          </w:tcPr>
          <w:p w:rsidR="00B14183" w:rsidRPr="00B14183" w:rsidRDefault="00B14183" w:rsidP="00FB7B02">
            <w:pPr>
              <w:spacing w:line="240" w:lineRule="auto"/>
              <w:rPr>
                <w:rFonts w:eastAsiaTheme="minorEastAsia" w:cs="Arial"/>
                <w:sz w:val="22"/>
                <w:szCs w:val="22"/>
                <w:lang w:eastAsia="zh-CN"/>
              </w:rPr>
            </w:pPr>
            <w:r w:rsidRPr="00B14183">
              <w:rPr>
                <w:rFonts w:eastAsiaTheme="minorEastAsia" w:cs="Arial"/>
                <w:sz w:val="22"/>
                <w:szCs w:val="22"/>
                <w:lang w:eastAsia="zh-CN"/>
              </w:rPr>
              <w:t xml:space="preserve">       </w:t>
            </w:r>
            <w:r w:rsidR="00FB7B02">
              <w:rPr>
                <w:rFonts w:eastAsiaTheme="minorEastAsia" w:cs="Arial"/>
                <w:sz w:val="22"/>
                <w:szCs w:val="22"/>
                <w:lang w:eastAsia="zh-CN"/>
              </w:rPr>
              <w:t>b)</w:t>
            </w:r>
            <w:r w:rsidRPr="00B14183">
              <w:rPr>
                <w:rFonts w:eastAsiaTheme="minorEastAsia" w:cs="Arial"/>
                <w:sz w:val="22"/>
                <w:szCs w:val="22"/>
                <w:lang w:eastAsia="zh-CN"/>
              </w:rPr>
              <w:t xml:space="preserve"> über 20.000 bis 50.000 Nutzer pro Jahr           </w:t>
            </w:r>
            <w:r w:rsidRPr="00B14183">
              <w:rPr>
                <w:rFonts w:eastAsiaTheme="minorEastAsia" w:cs="Arial"/>
                <w:i/>
                <w:sz w:val="22"/>
                <w:szCs w:val="22"/>
                <w:lang w:eastAsia="zh-CN"/>
              </w:rPr>
              <w:t>oder</w:t>
            </w:r>
          </w:p>
        </w:tc>
        <w:tc>
          <w:tcPr>
            <w:tcW w:w="382" w:type="pct"/>
          </w:tcPr>
          <w:p w:rsidR="00B14183" w:rsidRPr="00B14183" w:rsidRDefault="00B14183" w:rsidP="00B14183">
            <w:pPr>
              <w:spacing w:line="240" w:lineRule="auto"/>
              <w:rPr>
                <w:rFonts w:eastAsiaTheme="minorEastAsia" w:cs="Arial"/>
                <w:sz w:val="22"/>
                <w:szCs w:val="22"/>
                <w:lang w:eastAsia="zh-CN"/>
              </w:rPr>
            </w:pPr>
            <w:r w:rsidRPr="00B14183">
              <w:rPr>
                <w:rFonts w:eastAsiaTheme="minorEastAsia" w:cs="Arial"/>
                <w:sz w:val="22"/>
                <w:szCs w:val="22"/>
                <w:lang w:eastAsia="zh-CN"/>
              </w:rPr>
              <w:t>2*</w:t>
            </w:r>
          </w:p>
        </w:tc>
        <w:tc>
          <w:tcPr>
            <w:tcW w:w="536" w:type="pct"/>
          </w:tcPr>
          <w:p w:rsidR="00B14183" w:rsidRPr="00B14183" w:rsidRDefault="00B14183" w:rsidP="00B14183">
            <w:pPr>
              <w:spacing w:line="240" w:lineRule="auto"/>
              <w:rPr>
                <w:rFonts w:eastAsiaTheme="minorEastAsia" w:cs="Arial"/>
                <w:sz w:val="22"/>
                <w:szCs w:val="22"/>
                <w:lang w:eastAsia="zh-CN"/>
              </w:rPr>
            </w:pPr>
            <w:r w:rsidRPr="00B14183">
              <w:rPr>
                <w:rFonts w:eastAsiaTheme="minorEastAsia" w:cs="Arial"/>
                <w:sz w:val="22"/>
                <w:szCs w:val="22"/>
                <w:lang w:eastAsia="zh-CN"/>
              </w:rPr>
              <w:t>0/1</w:t>
            </w:r>
          </w:p>
        </w:tc>
        <w:tc>
          <w:tcPr>
            <w:tcW w:w="513" w:type="pct"/>
          </w:tcPr>
          <w:p w:rsidR="00B14183" w:rsidRPr="00B14183" w:rsidRDefault="00B14183" w:rsidP="00B14183">
            <w:pPr>
              <w:spacing w:line="240" w:lineRule="auto"/>
              <w:rPr>
                <w:rFonts w:ascii="Arial Narrow" w:eastAsiaTheme="minorEastAsia" w:hAnsi="Arial Narrow" w:cs="Arial"/>
                <w:sz w:val="22"/>
                <w:szCs w:val="22"/>
                <w:lang w:eastAsia="zh-CN"/>
              </w:rPr>
            </w:pPr>
          </w:p>
        </w:tc>
      </w:tr>
      <w:tr w:rsidR="00B14183" w:rsidRPr="00B14183" w:rsidTr="00B15947">
        <w:tc>
          <w:tcPr>
            <w:tcW w:w="3569" w:type="pct"/>
          </w:tcPr>
          <w:p w:rsidR="00B14183" w:rsidRPr="00B14183" w:rsidRDefault="00B14183" w:rsidP="00FB7B02">
            <w:pPr>
              <w:spacing w:line="240" w:lineRule="auto"/>
              <w:rPr>
                <w:rFonts w:eastAsiaTheme="minorEastAsia" w:cs="Arial"/>
                <w:sz w:val="22"/>
                <w:szCs w:val="22"/>
                <w:lang w:eastAsia="zh-CN"/>
              </w:rPr>
            </w:pPr>
            <w:r w:rsidRPr="00B14183">
              <w:rPr>
                <w:rFonts w:eastAsiaTheme="minorEastAsia" w:cs="Arial"/>
                <w:sz w:val="22"/>
                <w:szCs w:val="22"/>
                <w:lang w:eastAsia="zh-CN"/>
              </w:rPr>
              <w:t xml:space="preserve">       </w:t>
            </w:r>
            <w:r w:rsidR="00FB7B02">
              <w:rPr>
                <w:rFonts w:eastAsiaTheme="minorEastAsia" w:cs="Arial"/>
                <w:sz w:val="22"/>
                <w:szCs w:val="22"/>
                <w:lang w:eastAsia="zh-CN"/>
              </w:rPr>
              <w:t>c)</w:t>
            </w:r>
            <w:r w:rsidRPr="00B14183">
              <w:rPr>
                <w:rFonts w:eastAsiaTheme="minorEastAsia" w:cs="Arial"/>
                <w:sz w:val="22"/>
                <w:szCs w:val="22"/>
                <w:lang w:eastAsia="zh-CN"/>
              </w:rPr>
              <w:t xml:space="preserve"> über 50.000 Nutzer pro Jahr</w:t>
            </w:r>
          </w:p>
        </w:tc>
        <w:tc>
          <w:tcPr>
            <w:tcW w:w="382" w:type="pct"/>
          </w:tcPr>
          <w:p w:rsidR="00B14183" w:rsidRPr="00B14183" w:rsidRDefault="00B14183" w:rsidP="00B14183">
            <w:pPr>
              <w:spacing w:line="240" w:lineRule="auto"/>
              <w:rPr>
                <w:rFonts w:eastAsiaTheme="minorEastAsia" w:cs="Arial"/>
                <w:sz w:val="22"/>
                <w:szCs w:val="22"/>
                <w:lang w:eastAsia="zh-CN"/>
              </w:rPr>
            </w:pPr>
            <w:r w:rsidRPr="00B14183">
              <w:rPr>
                <w:rFonts w:eastAsiaTheme="minorEastAsia" w:cs="Arial"/>
                <w:sz w:val="22"/>
                <w:szCs w:val="22"/>
                <w:lang w:eastAsia="zh-CN"/>
              </w:rPr>
              <w:t>3*</w:t>
            </w:r>
          </w:p>
        </w:tc>
        <w:tc>
          <w:tcPr>
            <w:tcW w:w="536" w:type="pct"/>
          </w:tcPr>
          <w:p w:rsidR="00B14183" w:rsidRPr="00B14183" w:rsidRDefault="00B14183" w:rsidP="00B14183">
            <w:pPr>
              <w:spacing w:line="240" w:lineRule="auto"/>
              <w:rPr>
                <w:rFonts w:eastAsiaTheme="minorEastAsia" w:cs="Arial"/>
                <w:sz w:val="22"/>
                <w:szCs w:val="22"/>
                <w:lang w:eastAsia="zh-CN"/>
              </w:rPr>
            </w:pPr>
            <w:r w:rsidRPr="00B14183">
              <w:rPr>
                <w:rFonts w:eastAsiaTheme="minorEastAsia" w:cs="Arial"/>
                <w:sz w:val="22"/>
                <w:szCs w:val="22"/>
                <w:lang w:eastAsia="zh-CN"/>
              </w:rPr>
              <w:t>0/1</w:t>
            </w:r>
          </w:p>
        </w:tc>
        <w:tc>
          <w:tcPr>
            <w:tcW w:w="513" w:type="pct"/>
          </w:tcPr>
          <w:p w:rsidR="00B14183" w:rsidRPr="00B14183" w:rsidRDefault="00B14183" w:rsidP="00B14183">
            <w:pPr>
              <w:spacing w:line="240" w:lineRule="auto"/>
              <w:rPr>
                <w:rFonts w:ascii="Arial Narrow" w:eastAsiaTheme="minorEastAsia" w:hAnsi="Arial Narrow" w:cs="Arial"/>
                <w:sz w:val="22"/>
                <w:szCs w:val="22"/>
                <w:lang w:eastAsia="zh-CN"/>
              </w:rPr>
            </w:pPr>
          </w:p>
        </w:tc>
      </w:tr>
      <w:tr w:rsidR="00B14183" w:rsidRPr="00B14183" w:rsidTr="00B15947">
        <w:tc>
          <w:tcPr>
            <w:tcW w:w="5000" w:type="pct"/>
            <w:gridSpan w:val="4"/>
          </w:tcPr>
          <w:p w:rsidR="00B14183" w:rsidRPr="00B14183" w:rsidRDefault="00B14183" w:rsidP="00B14183">
            <w:pPr>
              <w:spacing w:line="240" w:lineRule="auto"/>
              <w:rPr>
                <w:rFonts w:ascii="Arial Narrow" w:eastAsiaTheme="minorEastAsia" w:hAnsi="Arial Narrow" w:cs="Arial"/>
                <w:sz w:val="22"/>
                <w:szCs w:val="22"/>
                <w:lang w:eastAsia="zh-CN"/>
              </w:rPr>
            </w:pPr>
          </w:p>
        </w:tc>
      </w:tr>
      <w:tr w:rsidR="00B14183" w:rsidRPr="00B14183" w:rsidTr="00B15947">
        <w:tc>
          <w:tcPr>
            <w:tcW w:w="3569" w:type="pct"/>
          </w:tcPr>
          <w:p w:rsidR="00B14183" w:rsidRPr="00B14183" w:rsidRDefault="00963C62" w:rsidP="00B14183">
            <w:pPr>
              <w:numPr>
                <w:ilvl w:val="0"/>
                <w:numId w:val="6"/>
              </w:numPr>
              <w:spacing w:line="240" w:lineRule="auto"/>
              <w:ind w:left="426" w:hanging="426"/>
              <w:contextualSpacing/>
              <w:rPr>
                <w:rFonts w:eastAsiaTheme="minorEastAsia" w:cs="Arial"/>
                <w:sz w:val="22"/>
                <w:szCs w:val="22"/>
                <w:lang w:eastAsia="zh-CN"/>
              </w:rPr>
            </w:pPr>
            <w:r>
              <w:rPr>
                <w:rFonts w:eastAsiaTheme="minorEastAsia" w:cs="Arial"/>
                <w:sz w:val="22"/>
                <w:szCs w:val="22"/>
                <w:lang w:eastAsia="zh-CN"/>
              </w:rPr>
              <w:t>Vorhaben</w:t>
            </w:r>
            <w:r w:rsidR="00B14183" w:rsidRPr="00B14183">
              <w:rPr>
                <w:rFonts w:eastAsiaTheme="minorEastAsia" w:cs="Arial"/>
                <w:sz w:val="22"/>
                <w:szCs w:val="22"/>
                <w:lang w:eastAsia="zh-CN"/>
              </w:rPr>
              <w:t xml:space="preserve"> </w:t>
            </w:r>
            <w:r w:rsidR="00B14183" w:rsidRPr="00B14183">
              <w:rPr>
                <w:rFonts w:eastAsiaTheme="minorEastAsia" w:cs="Arial"/>
                <w:b/>
                <w:sz w:val="22"/>
                <w:szCs w:val="22"/>
                <w:lang w:eastAsia="zh-CN"/>
              </w:rPr>
              <w:t>sichert das kulturelle Erbe der Dörfer und stärkt die kulturelle Identität</w:t>
            </w:r>
          </w:p>
        </w:tc>
        <w:tc>
          <w:tcPr>
            <w:tcW w:w="382" w:type="pct"/>
          </w:tcPr>
          <w:p w:rsidR="00B14183" w:rsidRPr="00B14183" w:rsidRDefault="00B14183" w:rsidP="00B14183">
            <w:pPr>
              <w:spacing w:line="240" w:lineRule="auto"/>
              <w:rPr>
                <w:rFonts w:eastAsiaTheme="minorEastAsia" w:cs="Arial"/>
                <w:sz w:val="22"/>
                <w:szCs w:val="22"/>
                <w:lang w:eastAsia="zh-CN"/>
              </w:rPr>
            </w:pPr>
          </w:p>
        </w:tc>
        <w:tc>
          <w:tcPr>
            <w:tcW w:w="536" w:type="pct"/>
          </w:tcPr>
          <w:p w:rsidR="00B14183" w:rsidRPr="00B14183" w:rsidRDefault="00B14183" w:rsidP="00B14183">
            <w:pPr>
              <w:spacing w:line="240" w:lineRule="auto"/>
              <w:rPr>
                <w:rFonts w:eastAsiaTheme="minorEastAsia" w:cs="Arial"/>
                <w:sz w:val="22"/>
                <w:szCs w:val="22"/>
                <w:lang w:eastAsia="zh-CN"/>
              </w:rPr>
            </w:pPr>
          </w:p>
        </w:tc>
        <w:tc>
          <w:tcPr>
            <w:tcW w:w="513" w:type="pct"/>
          </w:tcPr>
          <w:p w:rsidR="00B14183" w:rsidRPr="00B14183" w:rsidRDefault="00B14183" w:rsidP="00B14183">
            <w:pPr>
              <w:spacing w:line="240" w:lineRule="auto"/>
              <w:rPr>
                <w:rFonts w:ascii="Arial Narrow" w:eastAsiaTheme="minorEastAsia" w:hAnsi="Arial Narrow" w:cs="Arial"/>
                <w:sz w:val="22"/>
                <w:szCs w:val="22"/>
                <w:lang w:eastAsia="zh-CN"/>
              </w:rPr>
            </w:pPr>
            <w:r w:rsidRPr="00B14183">
              <w:rPr>
                <w:rFonts w:ascii="Arial Narrow" w:eastAsiaTheme="minorEastAsia" w:hAnsi="Arial Narrow" w:cs="Arial"/>
                <w:sz w:val="22"/>
                <w:szCs w:val="22"/>
                <w:lang w:eastAsia="zh-CN"/>
              </w:rPr>
              <w:t>max. 10 Punkte</w:t>
            </w:r>
          </w:p>
        </w:tc>
      </w:tr>
      <w:tr w:rsidR="00B14183" w:rsidRPr="00B14183" w:rsidTr="00B15947">
        <w:tc>
          <w:tcPr>
            <w:tcW w:w="3569" w:type="pct"/>
          </w:tcPr>
          <w:p w:rsidR="00B14183" w:rsidRPr="00B14183" w:rsidRDefault="00B14183" w:rsidP="00B14183">
            <w:pPr>
              <w:numPr>
                <w:ilvl w:val="0"/>
                <w:numId w:val="8"/>
              </w:numPr>
              <w:spacing w:line="240" w:lineRule="auto"/>
              <w:ind w:hanging="294"/>
              <w:contextualSpacing/>
              <w:rPr>
                <w:rFonts w:eastAsiaTheme="minorEastAsia" w:cs="Arial"/>
                <w:sz w:val="22"/>
                <w:szCs w:val="22"/>
                <w:lang w:eastAsia="zh-CN"/>
              </w:rPr>
            </w:pPr>
            <w:r w:rsidRPr="00B14183">
              <w:rPr>
                <w:rFonts w:eastAsiaTheme="minorEastAsia" w:cs="Arial"/>
                <w:sz w:val="22"/>
                <w:szCs w:val="22"/>
                <w:lang w:eastAsia="zh-CN"/>
              </w:rPr>
              <w:t xml:space="preserve">Vorhaben bedeutet eine Inwertsetzung des kulturellen Erbes der Dörfer (materiell), z.B. </w:t>
            </w:r>
          </w:p>
          <w:p w:rsidR="00B14183" w:rsidRPr="00B14183" w:rsidRDefault="00B14183" w:rsidP="00B14183">
            <w:pPr>
              <w:numPr>
                <w:ilvl w:val="0"/>
                <w:numId w:val="9"/>
              </w:numPr>
              <w:spacing w:line="240" w:lineRule="auto"/>
              <w:contextualSpacing/>
              <w:rPr>
                <w:rFonts w:eastAsiaTheme="minorEastAsia" w:cs="Arial"/>
                <w:sz w:val="22"/>
                <w:szCs w:val="22"/>
                <w:lang w:eastAsia="zh-CN"/>
              </w:rPr>
            </w:pPr>
            <w:r w:rsidRPr="00B14183">
              <w:rPr>
                <w:rFonts w:eastAsiaTheme="minorEastAsia" w:cs="Arial"/>
                <w:sz w:val="22"/>
                <w:szCs w:val="22"/>
                <w:lang w:eastAsia="zh-CN"/>
              </w:rPr>
              <w:t>Museen und Gedenkstätten zur Darstellung des kulturellen Erbes</w:t>
            </w:r>
          </w:p>
          <w:p w:rsidR="00B14183" w:rsidRPr="00B14183" w:rsidRDefault="00B14183" w:rsidP="00B14183">
            <w:pPr>
              <w:numPr>
                <w:ilvl w:val="0"/>
                <w:numId w:val="9"/>
              </w:numPr>
              <w:spacing w:line="240" w:lineRule="auto"/>
              <w:contextualSpacing/>
              <w:rPr>
                <w:rFonts w:eastAsiaTheme="minorEastAsia" w:cs="Arial"/>
                <w:sz w:val="22"/>
                <w:szCs w:val="22"/>
                <w:lang w:eastAsia="zh-CN"/>
              </w:rPr>
            </w:pPr>
            <w:r w:rsidRPr="00B14183">
              <w:rPr>
                <w:rFonts w:eastAsiaTheme="minorEastAsia" w:cs="Arial"/>
                <w:sz w:val="22"/>
                <w:szCs w:val="22"/>
                <w:lang w:eastAsia="zh-CN"/>
              </w:rPr>
              <w:t>Kulturelle Merkmale der Dörfer wie sakrale Gebäude, historische Gutsanlagen, Baudenkmäler sowie Ensembles/Plätze und Gebäude, die für die kulturelle Identität der Dörfer prägend sind</w:t>
            </w:r>
          </w:p>
        </w:tc>
        <w:tc>
          <w:tcPr>
            <w:tcW w:w="382" w:type="pct"/>
          </w:tcPr>
          <w:p w:rsidR="00B14183" w:rsidRPr="00B14183" w:rsidRDefault="00B14183" w:rsidP="00B14183">
            <w:pPr>
              <w:spacing w:line="240" w:lineRule="auto"/>
              <w:rPr>
                <w:rFonts w:eastAsiaTheme="minorEastAsia" w:cs="Arial"/>
                <w:sz w:val="22"/>
                <w:szCs w:val="22"/>
                <w:lang w:eastAsia="zh-CN"/>
              </w:rPr>
            </w:pPr>
            <w:r w:rsidRPr="00B14183">
              <w:rPr>
                <w:rFonts w:eastAsiaTheme="minorEastAsia" w:cs="Arial"/>
                <w:sz w:val="22"/>
                <w:szCs w:val="22"/>
                <w:lang w:eastAsia="zh-CN"/>
              </w:rPr>
              <w:t>4*</w:t>
            </w:r>
          </w:p>
        </w:tc>
        <w:tc>
          <w:tcPr>
            <w:tcW w:w="536" w:type="pct"/>
          </w:tcPr>
          <w:p w:rsidR="00B14183" w:rsidRPr="00B14183" w:rsidRDefault="00B14183" w:rsidP="00B14183">
            <w:pPr>
              <w:spacing w:line="240" w:lineRule="auto"/>
              <w:rPr>
                <w:rFonts w:eastAsiaTheme="minorEastAsia" w:cs="Arial"/>
                <w:sz w:val="22"/>
                <w:szCs w:val="22"/>
                <w:lang w:eastAsia="zh-CN"/>
              </w:rPr>
            </w:pPr>
            <w:r w:rsidRPr="00B14183">
              <w:rPr>
                <w:rFonts w:eastAsiaTheme="minorEastAsia" w:cs="Arial"/>
                <w:sz w:val="22"/>
                <w:szCs w:val="22"/>
                <w:lang w:eastAsia="zh-CN"/>
              </w:rPr>
              <w:t>0/1</w:t>
            </w:r>
          </w:p>
        </w:tc>
        <w:tc>
          <w:tcPr>
            <w:tcW w:w="513" w:type="pct"/>
          </w:tcPr>
          <w:p w:rsidR="00B14183" w:rsidRPr="00B14183" w:rsidRDefault="00B14183" w:rsidP="00B14183">
            <w:pPr>
              <w:spacing w:line="240" w:lineRule="auto"/>
              <w:rPr>
                <w:rFonts w:eastAsiaTheme="minorEastAsia" w:cs="Arial"/>
                <w:sz w:val="22"/>
                <w:szCs w:val="22"/>
                <w:lang w:eastAsia="zh-CN"/>
              </w:rPr>
            </w:pPr>
          </w:p>
        </w:tc>
      </w:tr>
      <w:tr w:rsidR="00B14183" w:rsidRPr="00B14183" w:rsidTr="00B15947">
        <w:tc>
          <w:tcPr>
            <w:tcW w:w="3569" w:type="pct"/>
          </w:tcPr>
          <w:p w:rsidR="00B14183" w:rsidRPr="00B14183" w:rsidRDefault="00B14183" w:rsidP="00B14183">
            <w:pPr>
              <w:numPr>
                <w:ilvl w:val="0"/>
                <w:numId w:val="8"/>
              </w:numPr>
              <w:spacing w:line="240" w:lineRule="auto"/>
              <w:ind w:hanging="294"/>
              <w:contextualSpacing/>
              <w:rPr>
                <w:rFonts w:eastAsiaTheme="minorEastAsia" w:cs="Arial"/>
                <w:sz w:val="22"/>
                <w:szCs w:val="22"/>
                <w:lang w:eastAsia="zh-CN"/>
              </w:rPr>
            </w:pPr>
            <w:r w:rsidRPr="00B14183">
              <w:rPr>
                <w:rFonts w:eastAsiaTheme="minorEastAsia" w:cs="Arial"/>
                <w:sz w:val="22"/>
                <w:szCs w:val="22"/>
                <w:lang w:eastAsia="zh-CN"/>
              </w:rPr>
              <w:t>Vorhaben dient dem Erhalt des immateriellen Kulturerbes (z.B. Traditionen, Bräuche, Volkskunde, Musik)</w:t>
            </w:r>
          </w:p>
        </w:tc>
        <w:tc>
          <w:tcPr>
            <w:tcW w:w="382" w:type="pct"/>
          </w:tcPr>
          <w:p w:rsidR="00B14183" w:rsidRPr="00B14183" w:rsidRDefault="00B14183" w:rsidP="00B14183">
            <w:pPr>
              <w:spacing w:line="240" w:lineRule="auto"/>
              <w:rPr>
                <w:rFonts w:eastAsiaTheme="minorEastAsia" w:cs="Arial"/>
                <w:sz w:val="22"/>
                <w:szCs w:val="22"/>
                <w:lang w:eastAsia="zh-CN"/>
              </w:rPr>
            </w:pPr>
            <w:r w:rsidRPr="00B14183">
              <w:rPr>
                <w:rFonts w:eastAsiaTheme="minorEastAsia" w:cs="Arial"/>
                <w:sz w:val="22"/>
                <w:szCs w:val="22"/>
                <w:lang w:eastAsia="zh-CN"/>
              </w:rPr>
              <w:t>2*</w:t>
            </w:r>
          </w:p>
        </w:tc>
        <w:tc>
          <w:tcPr>
            <w:tcW w:w="536" w:type="pct"/>
          </w:tcPr>
          <w:p w:rsidR="00B14183" w:rsidRPr="00B14183" w:rsidRDefault="00B14183" w:rsidP="00B14183">
            <w:pPr>
              <w:spacing w:line="240" w:lineRule="auto"/>
              <w:rPr>
                <w:rFonts w:eastAsiaTheme="minorEastAsia" w:cs="Arial"/>
                <w:sz w:val="22"/>
                <w:szCs w:val="22"/>
                <w:lang w:eastAsia="zh-CN"/>
              </w:rPr>
            </w:pPr>
            <w:r w:rsidRPr="00B14183">
              <w:rPr>
                <w:rFonts w:eastAsiaTheme="minorEastAsia" w:cs="Arial"/>
                <w:sz w:val="22"/>
                <w:szCs w:val="22"/>
                <w:lang w:eastAsia="zh-CN"/>
              </w:rPr>
              <w:t>0/1</w:t>
            </w:r>
          </w:p>
        </w:tc>
        <w:tc>
          <w:tcPr>
            <w:tcW w:w="513" w:type="pct"/>
          </w:tcPr>
          <w:p w:rsidR="00B14183" w:rsidRPr="00B14183" w:rsidRDefault="00B14183" w:rsidP="00B14183">
            <w:pPr>
              <w:spacing w:line="240" w:lineRule="auto"/>
              <w:rPr>
                <w:rFonts w:eastAsiaTheme="minorEastAsia" w:cs="Arial"/>
                <w:sz w:val="22"/>
                <w:szCs w:val="22"/>
                <w:lang w:eastAsia="zh-CN"/>
              </w:rPr>
            </w:pPr>
          </w:p>
        </w:tc>
      </w:tr>
      <w:tr w:rsidR="00B14183" w:rsidRPr="00B14183" w:rsidTr="00B15947">
        <w:tc>
          <w:tcPr>
            <w:tcW w:w="3569" w:type="pct"/>
          </w:tcPr>
          <w:p w:rsidR="00B14183" w:rsidRPr="00B14183" w:rsidRDefault="00B14183" w:rsidP="00B14183">
            <w:pPr>
              <w:numPr>
                <w:ilvl w:val="0"/>
                <w:numId w:val="8"/>
              </w:numPr>
              <w:spacing w:line="240" w:lineRule="auto"/>
              <w:ind w:hanging="294"/>
              <w:contextualSpacing/>
              <w:rPr>
                <w:rFonts w:eastAsiaTheme="minorEastAsia" w:cs="Arial"/>
                <w:sz w:val="22"/>
                <w:szCs w:val="22"/>
                <w:lang w:eastAsia="zh-CN"/>
              </w:rPr>
            </w:pPr>
            <w:r w:rsidRPr="00B14183">
              <w:rPr>
                <w:rFonts w:eastAsiaTheme="minorEastAsia" w:cs="Arial"/>
                <w:sz w:val="22"/>
                <w:szCs w:val="22"/>
                <w:lang w:eastAsia="zh-CN"/>
              </w:rPr>
              <w:t>Vorhaben leistet einen Beitrag zur kulturellen Bildung und/oder zur kulturellen Vernetzung</w:t>
            </w:r>
          </w:p>
        </w:tc>
        <w:tc>
          <w:tcPr>
            <w:tcW w:w="382" w:type="pct"/>
          </w:tcPr>
          <w:p w:rsidR="00B14183" w:rsidRPr="00B14183" w:rsidRDefault="00B14183" w:rsidP="00B14183">
            <w:pPr>
              <w:spacing w:line="240" w:lineRule="auto"/>
              <w:rPr>
                <w:rFonts w:eastAsiaTheme="minorEastAsia" w:cs="Arial"/>
                <w:sz w:val="22"/>
                <w:szCs w:val="22"/>
                <w:lang w:eastAsia="zh-CN"/>
              </w:rPr>
            </w:pPr>
            <w:r w:rsidRPr="00B14183">
              <w:rPr>
                <w:rFonts w:eastAsiaTheme="minorEastAsia" w:cs="Arial"/>
                <w:sz w:val="22"/>
                <w:szCs w:val="22"/>
                <w:lang w:eastAsia="zh-CN"/>
              </w:rPr>
              <w:t>2*</w:t>
            </w:r>
          </w:p>
        </w:tc>
        <w:tc>
          <w:tcPr>
            <w:tcW w:w="536" w:type="pct"/>
          </w:tcPr>
          <w:p w:rsidR="00B14183" w:rsidRPr="00B14183" w:rsidRDefault="00B14183" w:rsidP="00B14183">
            <w:pPr>
              <w:spacing w:line="240" w:lineRule="auto"/>
              <w:rPr>
                <w:rFonts w:eastAsiaTheme="minorEastAsia" w:cs="Arial"/>
                <w:sz w:val="22"/>
                <w:szCs w:val="22"/>
                <w:lang w:eastAsia="zh-CN"/>
              </w:rPr>
            </w:pPr>
            <w:r w:rsidRPr="00B14183">
              <w:rPr>
                <w:rFonts w:eastAsiaTheme="minorEastAsia" w:cs="Arial"/>
                <w:sz w:val="22"/>
                <w:szCs w:val="22"/>
                <w:lang w:eastAsia="zh-CN"/>
              </w:rPr>
              <w:t>0/1</w:t>
            </w:r>
          </w:p>
        </w:tc>
        <w:tc>
          <w:tcPr>
            <w:tcW w:w="513" w:type="pct"/>
          </w:tcPr>
          <w:p w:rsidR="00B14183" w:rsidRPr="00B14183" w:rsidRDefault="00B14183" w:rsidP="00B14183">
            <w:pPr>
              <w:spacing w:line="240" w:lineRule="auto"/>
              <w:rPr>
                <w:rFonts w:eastAsiaTheme="minorEastAsia" w:cs="Arial"/>
                <w:sz w:val="22"/>
                <w:szCs w:val="22"/>
                <w:lang w:eastAsia="zh-CN"/>
              </w:rPr>
            </w:pPr>
          </w:p>
        </w:tc>
      </w:tr>
      <w:tr w:rsidR="00B14183" w:rsidRPr="00B14183" w:rsidTr="00B15947">
        <w:tc>
          <w:tcPr>
            <w:tcW w:w="3569" w:type="pct"/>
          </w:tcPr>
          <w:p w:rsidR="00B14183" w:rsidRPr="00B14183" w:rsidRDefault="00B14183" w:rsidP="00B14183">
            <w:pPr>
              <w:numPr>
                <w:ilvl w:val="0"/>
                <w:numId w:val="8"/>
              </w:numPr>
              <w:spacing w:line="240" w:lineRule="auto"/>
              <w:ind w:hanging="294"/>
              <w:contextualSpacing/>
              <w:rPr>
                <w:rFonts w:eastAsiaTheme="minorEastAsia" w:cs="Arial"/>
                <w:sz w:val="22"/>
                <w:szCs w:val="22"/>
                <w:lang w:eastAsia="zh-CN"/>
              </w:rPr>
            </w:pPr>
            <w:r w:rsidRPr="00B14183">
              <w:rPr>
                <w:rFonts w:eastAsiaTheme="minorEastAsia" w:cs="Arial"/>
                <w:sz w:val="22"/>
                <w:szCs w:val="22"/>
                <w:lang w:eastAsia="zh-CN"/>
              </w:rPr>
              <w:t>Machbarkeitsstudie zum Vorhaben beinhaltet plausibel eine dauerhafte Einbindung ehrenamtlichen Engagements</w:t>
            </w:r>
          </w:p>
        </w:tc>
        <w:tc>
          <w:tcPr>
            <w:tcW w:w="382" w:type="pct"/>
          </w:tcPr>
          <w:p w:rsidR="00B14183" w:rsidRPr="00B14183" w:rsidRDefault="00B14183" w:rsidP="00B14183">
            <w:pPr>
              <w:spacing w:line="240" w:lineRule="auto"/>
              <w:rPr>
                <w:rFonts w:eastAsiaTheme="minorEastAsia" w:cs="Arial"/>
                <w:sz w:val="22"/>
                <w:szCs w:val="22"/>
                <w:lang w:eastAsia="zh-CN"/>
              </w:rPr>
            </w:pPr>
            <w:r w:rsidRPr="00B14183">
              <w:rPr>
                <w:rFonts w:eastAsiaTheme="minorEastAsia" w:cs="Arial"/>
                <w:sz w:val="22"/>
                <w:szCs w:val="22"/>
                <w:lang w:eastAsia="zh-CN"/>
              </w:rPr>
              <w:t>1*</w:t>
            </w:r>
          </w:p>
        </w:tc>
        <w:tc>
          <w:tcPr>
            <w:tcW w:w="536" w:type="pct"/>
          </w:tcPr>
          <w:p w:rsidR="00B14183" w:rsidRPr="00B14183" w:rsidRDefault="00B14183" w:rsidP="00B14183">
            <w:pPr>
              <w:spacing w:line="240" w:lineRule="auto"/>
              <w:rPr>
                <w:rFonts w:eastAsiaTheme="minorEastAsia" w:cs="Arial"/>
                <w:sz w:val="22"/>
                <w:szCs w:val="22"/>
                <w:lang w:eastAsia="zh-CN"/>
              </w:rPr>
            </w:pPr>
            <w:r w:rsidRPr="00B14183">
              <w:rPr>
                <w:rFonts w:eastAsiaTheme="minorEastAsia" w:cs="Arial"/>
                <w:sz w:val="22"/>
                <w:szCs w:val="22"/>
                <w:lang w:eastAsia="zh-CN"/>
              </w:rPr>
              <w:t>0/1</w:t>
            </w:r>
          </w:p>
        </w:tc>
        <w:tc>
          <w:tcPr>
            <w:tcW w:w="513" w:type="pct"/>
          </w:tcPr>
          <w:p w:rsidR="00B14183" w:rsidRPr="00B14183" w:rsidRDefault="00B14183" w:rsidP="00B14183">
            <w:pPr>
              <w:spacing w:line="240" w:lineRule="auto"/>
              <w:rPr>
                <w:rFonts w:eastAsiaTheme="minorEastAsia" w:cs="Arial"/>
                <w:sz w:val="22"/>
                <w:szCs w:val="22"/>
                <w:lang w:eastAsia="zh-CN"/>
              </w:rPr>
            </w:pPr>
          </w:p>
        </w:tc>
      </w:tr>
      <w:tr w:rsidR="00B14183" w:rsidRPr="00B14183" w:rsidTr="00B15947">
        <w:tc>
          <w:tcPr>
            <w:tcW w:w="3569" w:type="pct"/>
          </w:tcPr>
          <w:p w:rsidR="00B14183" w:rsidRPr="00B14183" w:rsidRDefault="00B14183" w:rsidP="00B14183">
            <w:pPr>
              <w:numPr>
                <w:ilvl w:val="0"/>
                <w:numId w:val="8"/>
              </w:numPr>
              <w:spacing w:line="240" w:lineRule="auto"/>
              <w:ind w:hanging="294"/>
              <w:contextualSpacing/>
              <w:rPr>
                <w:rFonts w:eastAsiaTheme="minorEastAsia" w:cs="Arial"/>
                <w:sz w:val="22"/>
                <w:szCs w:val="22"/>
                <w:lang w:eastAsia="zh-CN"/>
              </w:rPr>
            </w:pPr>
            <w:r w:rsidRPr="00B14183">
              <w:rPr>
                <w:rFonts w:eastAsiaTheme="minorEastAsia" w:cs="Arial"/>
                <w:sz w:val="22"/>
                <w:szCs w:val="22"/>
                <w:lang w:eastAsia="zh-CN"/>
              </w:rPr>
              <w:t>Vorhaben ist eingebunden in regionales Entwicklungskonzept</w:t>
            </w:r>
          </w:p>
        </w:tc>
        <w:tc>
          <w:tcPr>
            <w:tcW w:w="382" w:type="pct"/>
          </w:tcPr>
          <w:p w:rsidR="00B14183" w:rsidRPr="00B14183" w:rsidRDefault="00B14183" w:rsidP="00B14183">
            <w:pPr>
              <w:spacing w:line="240" w:lineRule="auto"/>
              <w:rPr>
                <w:rFonts w:eastAsiaTheme="minorEastAsia" w:cs="Arial"/>
                <w:sz w:val="22"/>
                <w:szCs w:val="22"/>
                <w:lang w:eastAsia="zh-CN"/>
              </w:rPr>
            </w:pPr>
            <w:r w:rsidRPr="00B14183">
              <w:rPr>
                <w:rFonts w:eastAsiaTheme="minorEastAsia" w:cs="Arial"/>
                <w:sz w:val="22"/>
                <w:szCs w:val="22"/>
                <w:lang w:eastAsia="zh-CN"/>
              </w:rPr>
              <w:t>1*</w:t>
            </w:r>
          </w:p>
        </w:tc>
        <w:tc>
          <w:tcPr>
            <w:tcW w:w="536" w:type="pct"/>
          </w:tcPr>
          <w:p w:rsidR="00B14183" w:rsidRPr="00B14183" w:rsidRDefault="00B14183" w:rsidP="00B14183">
            <w:pPr>
              <w:spacing w:line="240" w:lineRule="auto"/>
              <w:rPr>
                <w:rFonts w:eastAsiaTheme="minorEastAsia" w:cs="Arial"/>
                <w:sz w:val="22"/>
                <w:szCs w:val="22"/>
                <w:lang w:eastAsia="zh-CN"/>
              </w:rPr>
            </w:pPr>
            <w:r w:rsidRPr="00B14183">
              <w:rPr>
                <w:rFonts w:eastAsiaTheme="minorEastAsia" w:cs="Arial"/>
                <w:sz w:val="22"/>
                <w:szCs w:val="22"/>
                <w:lang w:eastAsia="zh-CN"/>
              </w:rPr>
              <w:t>0/1</w:t>
            </w:r>
          </w:p>
        </w:tc>
        <w:tc>
          <w:tcPr>
            <w:tcW w:w="513" w:type="pct"/>
          </w:tcPr>
          <w:p w:rsidR="00B14183" w:rsidRPr="00B14183" w:rsidRDefault="00B14183" w:rsidP="00B14183">
            <w:pPr>
              <w:spacing w:line="240" w:lineRule="auto"/>
              <w:rPr>
                <w:rFonts w:eastAsiaTheme="minorEastAsia" w:cs="Arial"/>
                <w:sz w:val="22"/>
                <w:szCs w:val="22"/>
                <w:lang w:eastAsia="zh-CN"/>
              </w:rPr>
            </w:pPr>
          </w:p>
        </w:tc>
      </w:tr>
      <w:tr w:rsidR="00B14183" w:rsidRPr="00B14183" w:rsidTr="00B15947">
        <w:tc>
          <w:tcPr>
            <w:tcW w:w="5000" w:type="pct"/>
            <w:gridSpan w:val="4"/>
          </w:tcPr>
          <w:p w:rsidR="00B14183" w:rsidRPr="00AE3CB1" w:rsidRDefault="00B14183" w:rsidP="00AE3CB1">
            <w:pPr>
              <w:spacing w:before="120" w:line="240" w:lineRule="auto"/>
              <w:rPr>
                <w:rFonts w:eastAsiaTheme="minorEastAsia" w:cs="Arial"/>
                <w:b/>
                <w:szCs w:val="24"/>
                <w:u w:val="single"/>
                <w:lang w:eastAsia="zh-CN"/>
              </w:rPr>
            </w:pPr>
            <w:r w:rsidRPr="00AE3CB1">
              <w:rPr>
                <w:rFonts w:eastAsiaTheme="minorEastAsia" w:cs="Arial"/>
                <w:b/>
                <w:szCs w:val="24"/>
                <w:u w:val="single"/>
                <w:lang w:eastAsia="zh-CN"/>
              </w:rPr>
              <w:t>Schwellenwert</w:t>
            </w:r>
          </w:p>
          <w:p w:rsidR="004B1729" w:rsidRPr="00B14183" w:rsidRDefault="00B14183" w:rsidP="004E6718">
            <w:pPr>
              <w:spacing w:line="240" w:lineRule="auto"/>
              <w:rPr>
                <w:rFonts w:eastAsiaTheme="minorEastAsia" w:cs="Arial"/>
                <w:sz w:val="22"/>
                <w:szCs w:val="22"/>
                <w:lang w:eastAsia="zh-CN"/>
              </w:rPr>
            </w:pPr>
            <w:r w:rsidRPr="00B14183">
              <w:rPr>
                <w:rFonts w:eastAsiaTheme="minorEastAsia" w:cs="Arial"/>
                <w:sz w:val="22"/>
                <w:szCs w:val="22"/>
                <w:lang w:eastAsia="zh-CN"/>
              </w:rPr>
              <w:t xml:space="preserve">8 Punkte von max. 17 Punkten, mind. 1 Punkt je Bewertungsbereich 1) , 2) und </w:t>
            </w:r>
            <w:r w:rsidRPr="00B14183">
              <w:rPr>
                <w:rFonts w:eastAsiaTheme="minorEastAsia" w:cs="Arial"/>
                <w:sz w:val="22"/>
                <w:szCs w:val="22"/>
                <w:lang w:eastAsia="zh-CN"/>
              </w:rPr>
              <w:br/>
              <w:t>mind. 4 Punkte im Bewertungsbereich 3)</w:t>
            </w:r>
          </w:p>
        </w:tc>
      </w:tr>
      <w:tr w:rsidR="003A2B10" w:rsidRPr="00B14183" w:rsidTr="0066611E">
        <w:tc>
          <w:tcPr>
            <w:tcW w:w="5000" w:type="pct"/>
            <w:gridSpan w:val="4"/>
          </w:tcPr>
          <w:p w:rsidR="008F5908" w:rsidRPr="00125AE4" w:rsidRDefault="008F5908" w:rsidP="008F5908">
            <w:pPr>
              <w:spacing w:before="120" w:after="60" w:line="240" w:lineRule="auto"/>
              <w:rPr>
                <w:rFonts w:eastAsiaTheme="minorEastAsia" w:cs="Arial"/>
                <w:b/>
                <w:szCs w:val="24"/>
                <w:u w:val="single"/>
                <w:lang w:eastAsia="zh-CN"/>
              </w:rPr>
            </w:pPr>
            <w:r w:rsidRPr="00125AE4">
              <w:rPr>
                <w:rFonts w:eastAsiaTheme="minorEastAsia" w:cs="Arial"/>
                <w:b/>
                <w:szCs w:val="24"/>
                <w:u w:val="single"/>
                <w:lang w:eastAsia="zh-CN"/>
              </w:rPr>
              <w:t>Stichtag 20</w:t>
            </w:r>
            <w:r>
              <w:rPr>
                <w:rFonts w:eastAsiaTheme="minorEastAsia" w:cs="Arial"/>
                <w:b/>
                <w:szCs w:val="24"/>
                <w:u w:val="single"/>
                <w:lang w:eastAsia="zh-CN"/>
              </w:rPr>
              <w:t>20</w:t>
            </w:r>
            <w:r w:rsidRPr="00125AE4">
              <w:rPr>
                <w:rFonts w:eastAsiaTheme="minorEastAsia" w:cs="Arial"/>
                <w:b/>
                <w:szCs w:val="24"/>
                <w:u w:val="single"/>
                <w:lang w:eastAsia="zh-CN"/>
              </w:rPr>
              <w:t>:</w:t>
            </w:r>
          </w:p>
          <w:p w:rsidR="008F5908" w:rsidRDefault="008F5908" w:rsidP="008F5908">
            <w:pPr>
              <w:spacing w:before="120" w:line="240" w:lineRule="auto"/>
              <w:rPr>
                <w:rFonts w:eastAsiaTheme="minorEastAsia" w:cs="Arial"/>
                <w:b/>
                <w:sz w:val="22"/>
                <w:szCs w:val="22"/>
                <w:lang w:eastAsia="zh-CN"/>
              </w:rPr>
            </w:pPr>
            <w:r w:rsidRPr="00125AE4">
              <w:rPr>
                <w:rFonts w:eastAsiaTheme="minorEastAsia" w:cs="Arial"/>
                <w:b/>
                <w:sz w:val="22"/>
                <w:szCs w:val="22"/>
                <w:lang w:eastAsia="zh-CN"/>
              </w:rPr>
              <w:t xml:space="preserve">Nächster Stichtag: 1. </w:t>
            </w:r>
            <w:r>
              <w:rPr>
                <w:rFonts w:eastAsiaTheme="minorEastAsia" w:cs="Arial"/>
                <w:b/>
                <w:sz w:val="22"/>
                <w:szCs w:val="22"/>
                <w:lang w:eastAsia="zh-CN"/>
              </w:rPr>
              <w:t>April</w:t>
            </w:r>
            <w:r w:rsidRPr="00125AE4">
              <w:rPr>
                <w:rFonts w:eastAsiaTheme="minorEastAsia" w:cs="Arial"/>
                <w:b/>
                <w:sz w:val="22"/>
                <w:szCs w:val="22"/>
                <w:lang w:eastAsia="zh-CN"/>
              </w:rPr>
              <w:t xml:space="preserve"> 20</w:t>
            </w:r>
            <w:r>
              <w:rPr>
                <w:rFonts w:eastAsiaTheme="minorEastAsia" w:cs="Arial"/>
                <w:b/>
                <w:sz w:val="22"/>
                <w:szCs w:val="22"/>
                <w:lang w:eastAsia="zh-CN"/>
              </w:rPr>
              <w:t>20</w:t>
            </w:r>
            <w:r w:rsidRPr="00125AE4">
              <w:rPr>
                <w:rFonts w:eastAsiaTheme="minorEastAsia" w:cs="Arial"/>
                <w:b/>
                <w:sz w:val="22"/>
                <w:szCs w:val="22"/>
                <w:lang w:eastAsia="zh-CN"/>
              </w:rPr>
              <w:t xml:space="preserve"> </w:t>
            </w:r>
            <w:r w:rsidRPr="00125AE4">
              <w:rPr>
                <w:rFonts w:eastAsiaTheme="minorEastAsia" w:cs="Arial"/>
                <w:sz w:val="22"/>
                <w:szCs w:val="22"/>
                <w:lang w:eastAsia="zh-CN"/>
              </w:rPr>
              <w:t>(Abgabe des bewilligungsreifen Antrags beim LLUR)</w:t>
            </w:r>
            <w:r w:rsidRPr="00125AE4">
              <w:rPr>
                <w:rFonts w:eastAsiaTheme="minorEastAsia" w:cs="Arial"/>
                <w:b/>
                <w:sz w:val="22"/>
                <w:szCs w:val="22"/>
                <w:lang w:eastAsia="zh-CN"/>
              </w:rPr>
              <w:t xml:space="preserve"> </w:t>
            </w:r>
          </w:p>
          <w:p w:rsidR="007A3D04" w:rsidRDefault="008F5908" w:rsidP="008F5908">
            <w:pPr>
              <w:spacing w:line="240" w:lineRule="auto"/>
              <w:rPr>
                <w:rFonts w:eastAsiaTheme="minorEastAsia" w:cs="Arial"/>
                <w:sz w:val="22"/>
                <w:szCs w:val="22"/>
                <w:lang w:eastAsia="zh-CN"/>
              </w:rPr>
            </w:pPr>
            <w:r w:rsidRPr="00125AE4">
              <w:rPr>
                <w:rFonts w:eastAsiaTheme="minorEastAsia" w:cs="Arial"/>
                <w:sz w:val="22"/>
                <w:szCs w:val="22"/>
                <w:lang w:eastAsia="zh-CN"/>
              </w:rPr>
              <w:t xml:space="preserve">Es wird empfohlen, die bewilligungsreifen Anträge (inkl. ZBau-Prüfung) beim LLUR möglichst </w:t>
            </w:r>
            <w:r w:rsidRPr="00F21DB8">
              <w:rPr>
                <w:rFonts w:eastAsiaTheme="minorEastAsia" w:cs="Arial"/>
                <w:b/>
                <w:sz w:val="22"/>
                <w:szCs w:val="22"/>
                <w:lang w:eastAsia="zh-CN"/>
              </w:rPr>
              <w:t>bis zum 1</w:t>
            </w:r>
            <w:r>
              <w:rPr>
                <w:rFonts w:eastAsiaTheme="minorEastAsia" w:cs="Arial"/>
                <w:b/>
                <w:sz w:val="22"/>
                <w:szCs w:val="22"/>
                <w:lang w:eastAsia="zh-CN"/>
              </w:rPr>
              <w:t>4</w:t>
            </w:r>
            <w:r w:rsidRPr="00F21DB8">
              <w:rPr>
                <w:rFonts w:eastAsiaTheme="minorEastAsia" w:cs="Arial"/>
                <w:b/>
                <w:sz w:val="22"/>
                <w:szCs w:val="22"/>
                <w:lang w:eastAsia="zh-CN"/>
              </w:rPr>
              <w:t>.2.2020</w:t>
            </w:r>
            <w:r>
              <w:rPr>
                <w:rFonts w:eastAsiaTheme="minorEastAsia" w:cs="Arial"/>
                <w:sz w:val="22"/>
                <w:szCs w:val="22"/>
                <w:lang w:eastAsia="zh-CN"/>
              </w:rPr>
              <w:t xml:space="preserve"> </w:t>
            </w:r>
            <w:r w:rsidRPr="00125AE4">
              <w:rPr>
                <w:rFonts w:eastAsiaTheme="minorEastAsia" w:cs="Arial"/>
                <w:sz w:val="22"/>
                <w:szCs w:val="22"/>
                <w:lang w:eastAsia="zh-CN"/>
              </w:rPr>
              <w:t>zur Klärung nicht eindeutiger Angaben einzureichen.</w:t>
            </w:r>
          </w:p>
          <w:p w:rsidR="008F5908" w:rsidRPr="00B14183" w:rsidRDefault="008F5908" w:rsidP="008F5908">
            <w:pPr>
              <w:spacing w:line="240" w:lineRule="auto"/>
              <w:rPr>
                <w:rFonts w:eastAsiaTheme="minorEastAsia" w:cs="Arial"/>
                <w:sz w:val="22"/>
                <w:szCs w:val="22"/>
                <w:lang w:eastAsia="zh-CN"/>
              </w:rPr>
            </w:pPr>
          </w:p>
        </w:tc>
      </w:tr>
      <w:tr w:rsidR="00B14183" w:rsidRPr="00B14183" w:rsidTr="00B15947">
        <w:tc>
          <w:tcPr>
            <w:tcW w:w="5000" w:type="pct"/>
            <w:gridSpan w:val="4"/>
          </w:tcPr>
          <w:p w:rsidR="007A3D04" w:rsidRDefault="001766BF" w:rsidP="004E6718">
            <w:pPr>
              <w:spacing w:before="120" w:after="120" w:line="240" w:lineRule="auto"/>
              <w:rPr>
                <w:rFonts w:eastAsiaTheme="minorEastAsia" w:cs="Arial"/>
                <w:b/>
                <w:sz w:val="22"/>
                <w:szCs w:val="22"/>
                <w:u w:val="single"/>
                <w:lang w:eastAsia="zh-CN"/>
              </w:rPr>
            </w:pPr>
            <w:r w:rsidRPr="001766BF">
              <w:rPr>
                <w:rFonts w:eastAsiaTheme="minorEastAsia" w:cs="Arial"/>
                <w:b/>
                <w:sz w:val="22"/>
                <w:szCs w:val="22"/>
                <w:u w:val="single"/>
                <w:lang w:eastAsia="zh-CN"/>
              </w:rPr>
              <w:t>J</w:t>
            </w:r>
            <w:r w:rsidR="004B1729" w:rsidRPr="004B1729">
              <w:rPr>
                <w:rFonts w:eastAsiaTheme="minorEastAsia" w:cs="Arial"/>
                <w:b/>
                <w:sz w:val="22"/>
                <w:szCs w:val="22"/>
                <w:u w:val="single"/>
                <w:lang w:eastAsia="zh-CN"/>
              </w:rPr>
              <w:t>ahresbudget 201</w:t>
            </w:r>
            <w:r w:rsidR="005D05FD">
              <w:rPr>
                <w:rFonts w:eastAsiaTheme="minorEastAsia" w:cs="Arial"/>
                <w:b/>
                <w:sz w:val="22"/>
                <w:szCs w:val="22"/>
                <w:u w:val="single"/>
                <w:lang w:eastAsia="zh-CN"/>
              </w:rPr>
              <w:t>2</w:t>
            </w:r>
          </w:p>
          <w:tbl>
            <w:tblPr>
              <w:tblStyle w:val="Tabellenraster"/>
              <w:tblW w:w="0" w:type="auto"/>
              <w:tblInd w:w="279" w:type="dxa"/>
              <w:tblLayout w:type="fixed"/>
              <w:tblLook w:val="04A0" w:firstRow="1" w:lastRow="0" w:firstColumn="1" w:lastColumn="0" w:noHBand="0" w:noVBand="1"/>
            </w:tblPr>
            <w:tblGrid>
              <w:gridCol w:w="4252"/>
              <w:gridCol w:w="4111"/>
            </w:tblGrid>
            <w:tr w:rsidR="008F5908" w:rsidRPr="004B1729" w:rsidTr="008F5908">
              <w:tc>
                <w:tcPr>
                  <w:tcW w:w="4252" w:type="dxa"/>
                  <w:shd w:val="clear" w:color="auto" w:fill="EEECE1" w:themeFill="background2"/>
                </w:tcPr>
                <w:p w:rsidR="008F5908" w:rsidRPr="00811495" w:rsidRDefault="008F5908" w:rsidP="008F5908">
                  <w:pPr>
                    <w:spacing w:line="240" w:lineRule="auto"/>
                    <w:ind w:left="-282" w:firstLine="282"/>
                    <w:rPr>
                      <w:rFonts w:eastAsiaTheme="minorEastAsia" w:cs="Arial"/>
                      <w:b/>
                      <w:sz w:val="22"/>
                      <w:szCs w:val="22"/>
                      <w:lang w:eastAsia="zh-CN"/>
                    </w:rPr>
                  </w:pPr>
                  <w:r w:rsidRPr="00811495">
                    <w:rPr>
                      <w:rFonts w:eastAsiaTheme="minorEastAsia" w:cs="Arial"/>
                      <w:b/>
                      <w:sz w:val="22"/>
                      <w:szCs w:val="22"/>
                      <w:lang w:eastAsia="zh-CN"/>
                    </w:rPr>
                    <w:t>Verfügbare</w:t>
                  </w:r>
                  <w:r>
                    <w:rPr>
                      <w:rFonts w:eastAsiaTheme="minorEastAsia" w:cs="Arial"/>
                      <w:b/>
                      <w:sz w:val="22"/>
                      <w:szCs w:val="22"/>
                      <w:lang w:eastAsia="zh-CN"/>
                    </w:rPr>
                    <w:t xml:space="preserve"> </w:t>
                  </w:r>
                  <w:r w:rsidRPr="00811495">
                    <w:rPr>
                      <w:rFonts w:eastAsiaTheme="minorEastAsia" w:cs="Arial"/>
                      <w:b/>
                      <w:sz w:val="22"/>
                      <w:szCs w:val="22"/>
                      <w:lang w:eastAsia="zh-CN"/>
                    </w:rPr>
                    <w:t xml:space="preserve">ELER-Mittel </w:t>
                  </w:r>
                </w:p>
              </w:tc>
              <w:tc>
                <w:tcPr>
                  <w:tcW w:w="4111" w:type="dxa"/>
                  <w:shd w:val="clear" w:color="auto" w:fill="D6E3BC" w:themeFill="accent3" w:themeFillTint="66"/>
                  <w:vAlign w:val="center"/>
                </w:tcPr>
                <w:p w:rsidR="008F5908" w:rsidRPr="00811495" w:rsidRDefault="008F5908" w:rsidP="005D05FD">
                  <w:pPr>
                    <w:spacing w:line="240" w:lineRule="auto"/>
                    <w:jc w:val="center"/>
                    <w:rPr>
                      <w:rFonts w:eastAsiaTheme="minorEastAsia" w:cs="Arial"/>
                      <w:b/>
                      <w:sz w:val="22"/>
                      <w:szCs w:val="22"/>
                      <w:lang w:eastAsia="zh-CN"/>
                    </w:rPr>
                  </w:pPr>
                  <w:r>
                    <w:rPr>
                      <w:rFonts w:eastAsiaTheme="minorEastAsia" w:cs="Arial"/>
                      <w:b/>
                      <w:sz w:val="22"/>
                      <w:szCs w:val="22"/>
                      <w:lang w:eastAsia="zh-CN"/>
                    </w:rPr>
                    <w:t>Jahresbudget 2020</w:t>
                  </w:r>
                </w:p>
              </w:tc>
            </w:tr>
            <w:tr w:rsidR="008F5908" w:rsidRPr="004B1729" w:rsidTr="008F5908">
              <w:trPr>
                <w:trHeight w:val="474"/>
              </w:trPr>
              <w:tc>
                <w:tcPr>
                  <w:tcW w:w="4252" w:type="dxa"/>
                  <w:shd w:val="clear" w:color="auto" w:fill="EEECE1" w:themeFill="background2"/>
                  <w:vAlign w:val="center"/>
                </w:tcPr>
                <w:p w:rsidR="008F5908" w:rsidRPr="003A2B10" w:rsidRDefault="008F5908" w:rsidP="00536076">
                  <w:pPr>
                    <w:spacing w:line="240" w:lineRule="auto"/>
                    <w:rPr>
                      <w:rFonts w:eastAsiaTheme="minorEastAsia" w:cs="Arial"/>
                      <w:b/>
                      <w:sz w:val="22"/>
                      <w:szCs w:val="22"/>
                      <w:lang w:eastAsia="zh-CN"/>
                    </w:rPr>
                  </w:pPr>
                  <w:r w:rsidRPr="003A2B10">
                    <w:rPr>
                      <w:rFonts w:eastAsiaTheme="minorEastAsia" w:cs="Arial"/>
                      <w:b/>
                      <w:sz w:val="22"/>
                      <w:szCs w:val="22"/>
                      <w:lang w:eastAsia="zh-CN"/>
                    </w:rPr>
                    <w:t>7.6.1 Erhaltung des kulturellen Erbes</w:t>
                  </w:r>
                </w:p>
              </w:tc>
              <w:tc>
                <w:tcPr>
                  <w:tcW w:w="4111" w:type="dxa"/>
                  <w:shd w:val="clear" w:color="auto" w:fill="D6E3BC" w:themeFill="accent3" w:themeFillTint="66"/>
                  <w:vAlign w:val="center"/>
                </w:tcPr>
                <w:p w:rsidR="005D05FD" w:rsidRDefault="008F5908" w:rsidP="005D05FD">
                  <w:pPr>
                    <w:jc w:val="center"/>
                  </w:pPr>
                  <w:r w:rsidRPr="00536076">
                    <w:rPr>
                      <w:b/>
                      <w:sz w:val="22"/>
                      <w:szCs w:val="22"/>
                    </w:rPr>
                    <w:t>1.8</w:t>
                  </w:r>
                  <w:r w:rsidR="005D05FD">
                    <w:rPr>
                      <w:b/>
                      <w:sz w:val="22"/>
                      <w:szCs w:val="22"/>
                    </w:rPr>
                    <w:t>55</w:t>
                  </w:r>
                  <w:r w:rsidRPr="00536076">
                    <w:rPr>
                      <w:b/>
                      <w:sz w:val="22"/>
                      <w:szCs w:val="22"/>
                    </w:rPr>
                    <w:t>.</w:t>
                  </w:r>
                  <w:r w:rsidR="005D05FD">
                    <w:rPr>
                      <w:b/>
                      <w:sz w:val="22"/>
                      <w:szCs w:val="22"/>
                    </w:rPr>
                    <w:t>565,87</w:t>
                  </w:r>
                  <w:r>
                    <w:rPr>
                      <w:b/>
                      <w:sz w:val="22"/>
                      <w:szCs w:val="22"/>
                    </w:rPr>
                    <w:t xml:space="preserve"> Euro</w:t>
                  </w:r>
                </w:p>
              </w:tc>
            </w:tr>
          </w:tbl>
          <w:p w:rsidR="00B14183" w:rsidRPr="00B33FA9" w:rsidRDefault="004B1729" w:rsidP="005D05FD">
            <w:pPr>
              <w:spacing w:before="120" w:line="240" w:lineRule="auto"/>
              <w:rPr>
                <w:rFonts w:eastAsiaTheme="minorEastAsia" w:cs="Arial"/>
                <w:sz w:val="22"/>
                <w:szCs w:val="22"/>
                <w:lang w:eastAsia="zh-CN"/>
              </w:rPr>
            </w:pPr>
            <w:r w:rsidRPr="00B33FA9">
              <w:rPr>
                <w:rFonts w:eastAsiaTheme="minorEastAsia" w:cs="Arial"/>
                <w:sz w:val="22"/>
                <w:szCs w:val="22"/>
                <w:lang w:eastAsia="zh-CN"/>
              </w:rPr>
              <w:t>Nicht ausgeschöpfte Budgetmittel werden de</w:t>
            </w:r>
            <w:r w:rsidR="008F5908">
              <w:rPr>
                <w:rFonts w:eastAsiaTheme="minorEastAsia" w:cs="Arial"/>
                <w:sz w:val="22"/>
                <w:szCs w:val="22"/>
                <w:lang w:eastAsia="zh-CN"/>
              </w:rPr>
              <w:t>m</w:t>
            </w:r>
            <w:r w:rsidRPr="00B33FA9">
              <w:rPr>
                <w:rFonts w:eastAsiaTheme="minorEastAsia" w:cs="Arial"/>
                <w:sz w:val="22"/>
                <w:szCs w:val="22"/>
                <w:lang w:eastAsia="zh-CN"/>
              </w:rPr>
              <w:t xml:space="preserve"> Budget de</w:t>
            </w:r>
            <w:r w:rsidR="008F5908">
              <w:rPr>
                <w:rFonts w:eastAsiaTheme="minorEastAsia" w:cs="Arial"/>
                <w:sz w:val="22"/>
                <w:szCs w:val="22"/>
                <w:lang w:eastAsia="zh-CN"/>
              </w:rPr>
              <w:t>s</w:t>
            </w:r>
            <w:r w:rsidRPr="00B33FA9">
              <w:rPr>
                <w:rFonts w:eastAsiaTheme="minorEastAsia" w:cs="Arial"/>
                <w:sz w:val="22"/>
                <w:szCs w:val="22"/>
                <w:lang w:eastAsia="zh-CN"/>
              </w:rPr>
              <w:t xml:space="preserve"> nachfolgenden Auswahlverfahren</w:t>
            </w:r>
            <w:r w:rsidR="008F5908">
              <w:rPr>
                <w:rFonts w:eastAsiaTheme="minorEastAsia" w:cs="Arial"/>
                <w:sz w:val="22"/>
                <w:szCs w:val="22"/>
                <w:lang w:eastAsia="zh-CN"/>
              </w:rPr>
              <w:t>s</w:t>
            </w:r>
            <w:r w:rsidRPr="00B33FA9">
              <w:rPr>
                <w:rFonts w:eastAsiaTheme="minorEastAsia" w:cs="Arial"/>
                <w:sz w:val="22"/>
                <w:szCs w:val="22"/>
                <w:lang w:eastAsia="zh-CN"/>
              </w:rPr>
              <w:t xml:space="preserve"> zugeschlagen. </w:t>
            </w:r>
          </w:p>
        </w:tc>
      </w:tr>
      <w:tr w:rsidR="00B14183" w:rsidRPr="00B14183" w:rsidTr="00B15947">
        <w:tc>
          <w:tcPr>
            <w:tcW w:w="5000" w:type="pct"/>
            <w:gridSpan w:val="4"/>
          </w:tcPr>
          <w:p w:rsidR="00B14183" w:rsidRPr="00B14183" w:rsidRDefault="00EA1FEB" w:rsidP="00B14183">
            <w:pPr>
              <w:autoSpaceDE w:val="0"/>
              <w:autoSpaceDN w:val="0"/>
              <w:adjustRightInd w:val="0"/>
              <w:spacing w:line="240" w:lineRule="auto"/>
              <w:rPr>
                <w:rFonts w:eastAsiaTheme="minorEastAsia" w:cs="Arial"/>
                <w:color w:val="000000"/>
                <w:sz w:val="22"/>
                <w:szCs w:val="22"/>
                <w:lang w:eastAsia="zh-CN"/>
              </w:rPr>
            </w:pPr>
            <w:r>
              <w:rPr>
                <w:rFonts w:eastAsiaTheme="minorEastAsia" w:cs="Arial"/>
                <w:color w:val="000000"/>
                <w:sz w:val="22"/>
                <w:szCs w:val="22"/>
                <w:u w:val="single"/>
                <w:lang w:eastAsia="zh-CN"/>
              </w:rPr>
              <w:lastRenderedPageBreak/>
              <w:br/>
            </w:r>
            <w:r w:rsidR="00B14183" w:rsidRPr="00B14183">
              <w:rPr>
                <w:rFonts w:eastAsiaTheme="minorEastAsia" w:cs="Arial"/>
                <w:color w:val="000000"/>
                <w:sz w:val="22"/>
                <w:szCs w:val="22"/>
                <w:u w:val="single"/>
                <w:lang w:eastAsia="zh-CN"/>
              </w:rPr>
              <w:t>Erläuterung zum Bewertungsbereich 1):</w:t>
            </w:r>
            <w:r w:rsidR="00B14183" w:rsidRPr="00B14183">
              <w:rPr>
                <w:rFonts w:eastAsiaTheme="minorEastAsia" w:cs="Arial"/>
                <w:color w:val="000000"/>
                <w:sz w:val="22"/>
                <w:szCs w:val="22"/>
                <w:lang w:eastAsia="zh-CN"/>
              </w:rPr>
              <w:t xml:space="preserve">  Es sollen Vorhaben unterstützt werden, die durch die neue Zusammenarbeit verschiedener Partner Synergien erreichen, um damit tragfähige Angebote zur Sicherung des ländlichen Kulturerbes zu sichern.</w:t>
            </w:r>
            <w:r w:rsidR="00B6511C">
              <w:rPr>
                <w:rFonts w:eastAsiaTheme="minorEastAsia" w:cs="Arial"/>
                <w:color w:val="000000"/>
                <w:sz w:val="22"/>
                <w:szCs w:val="22"/>
                <w:lang w:eastAsia="zh-CN"/>
              </w:rPr>
              <w:t xml:space="preserve"> </w:t>
            </w:r>
            <w:r w:rsidR="00B14183" w:rsidRPr="00B14183">
              <w:rPr>
                <w:rFonts w:eastAsiaTheme="minorEastAsia" w:cs="Arial"/>
                <w:color w:val="000000"/>
                <w:sz w:val="22"/>
                <w:szCs w:val="22"/>
                <w:lang w:eastAsia="zh-CN"/>
              </w:rPr>
              <w:t>Nur eine Nutzung der Räumlichkeiten reicht zur Erfüllung des Kriteriums Kooperation nicht aus.</w:t>
            </w:r>
            <w:r w:rsidR="00B6511C">
              <w:rPr>
                <w:rFonts w:eastAsiaTheme="minorEastAsia" w:cs="Arial"/>
                <w:color w:val="000000"/>
                <w:sz w:val="22"/>
                <w:szCs w:val="22"/>
                <w:lang w:eastAsia="zh-CN"/>
              </w:rPr>
              <w:br/>
            </w:r>
          </w:p>
          <w:p w:rsidR="00B14183" w:rsidRPr="00B14183" w:rsidRDefault="00B14183" w:rsidP="00B14183">
            <w:pPr>
              <w:autoSpaceDE w:val="0"/>
              <w:autoSpaceDN w:val="0"/>
              <w:adjustRightInd w:val="0"/>
              <w:spacing w:line="240" w:lineRule="auto"/>
              <w:rPr>
                <w:rFonts w:eastAsiaTheme="minorEastAsia" w:cs="Arial"/>
                <w:color w:val="000000"/>
                <w:sz w:val="22"/>
                <w:szCs w:val="22"/>
                <w:lang w:eastAsia="zh-CN"/>
              </w:rPr>
            </w:pPr>
            <w:r w:rsidRPr="00B14183">
              <w:rPr>
                <w:rFonts w:eastAsiaTheme="minorEastAsia" w:cs="Arial"/>
                <w:color w:val="000000"/>
                <w:sz w:val="22"/>
                <w:szCs w:val="22"/>
                <w:u w:val="single"/>
                <w:lang w:eastAsia="zh-CN"/>
              </w:rPr>
              <w:t>Erläuterung zum Bewertungsbereich  2):</w:t>
            </w:r>
            <w:r w:rsidRPr="00B14183">
              <w:rPr>
                <w:rFonts w:eastAsiaTheme="minorEastAsia" w:cs="Arial"/>
                <w:color w:val="000000"/>
                <w:sz w:val="22"/>
                <w:szCs w:val="22"/>
                <w:lang w:eastAsia="zh-CN"/>
              </w:rPr>
              <w:t xml:space="preserve"> Vorhaben mit einer stärkeren Ausstrahlung, d.h. mit einer größeren Anzahl potenzieller Nutzer</w:t>
            </w:r>
            <w:r w:rsidR="00B20939">
              <w:rPr>
                <w:rFonts w:eastAsiaTheme="minorEastAsia" w:cs="Arial"/>
                <w:color w:val="000000"/>
                <w:sz w:val="22"/>
                <w:szCs w:val="22"/>
                <w:lang w:eastAsia="zh-CN"/>
              </w:rPr>
              <w:t>,</w:t>
            </w:r>
            <w:r w:rsidRPr="00B14183">
              <w:rPr>
                <w:rFonts w:eastAsiaTheme="minorEastAsia" w:cs="Arial"/>
                <w:color w:val="000000"/>
                <w:sz w:val="22"/>
                <w:szCs w:val="22"/>
                <w:lang w:eastAsia="zh-CN"/>
              </w:rPr>
              <w:t xml:space="preserve"> sollen bevorzugt werden. Als Grundlage dienen die Prognosewerte der Machbarkeitsstudie.</w:t>
            </w:r>
            <w:r w:rsidR="00B6511C">
              <w:rPr>
                <w:rFonts w:eastAsiaTheme="minorEastAsia" w:cs="Arial"/>
                <w:color w:val="000000"/>
                <w:sz w:val="22"/>
                <w:szCs w:val="22"/>
                <w:lang w:eastAsia="zh-CN"/>
              </w:rPr>
              <w:br/>
            </w:r>
          </w:p>
          <w:p w:rsidR="00B14183" w:rsidRPr="00B14183" w:rsidRDefault="00B14183" w:rsidP="004E6718">
            <w:pPr>
              <w:autoSpaceDE w:val="0"/>
              <w:autoSpaceDN w:val="0"/>
              <w:adjustRightInd w:val="0"/>
              <w:spacing w:line="240" w:lineRule="auto"/>
              <w:rPr>
                <w:rFonts w:eastAsiaTheme="minorEastAsia" w:cs="Arial"/>
                <w:b/>
                <w:color w:val="000000"/>
                <w:sz w:val="22"/>
                <w:szCs w:val="22"/>
                <w:lang w:eastAsia="zh-CN"/>
              </w:rPr>
            </w:pPr>
            <w:r w:rsidRPr="00B14183">
              <w:rPr>
                <w:rFonts w:eastAsiaTheme="minorEastAsia" w:cs="Arial"/>
                <w:color w:val="000000"/>
                <w:sz w:val="22"/>
                <w:szCs w:val="22"/>
                <w:u w:val="single"/>
                <w:lang w:eastAsia="zh-CN"/>
              </w:rPr>
              <w:t>Erläuterung zum Bewertungsbereich 3):</w:t>
            </w:r>
            <w:r w:rsidRPr="00B14183">
              <w:rPr>
                <w:rFonts w:eastAsiaTheme="minorEastAsia" w:cs="Arial"/>
                <w:color w:val="000000"/>
                <w:sz w:val="22"/>
                <w:szCs w:val="22"/>
                <w:lang w:eastAsia="zh-CN"/>
              </w:rPr>
              <w:t xml:space="preserve"> Es sollen vorrangig Vorhaben zur Sicherung des ländlichen Kulturerbes motiviert werden, die das kulturelle Erbe der Dörfer in Wert setzen, die Beiträge zur kulturellen Bildung leisten, die das immaterielle Kulturerbe stärken oder dauerhaft ehrenamtliches Engagement einbinden. </w:t>
            </w:r>
          </w:p>
        </w:tc>
      </w:tr>
    </w:tbl>
    <w:p w:rsidR="00595E69" w:rsidRPr="00F911C0" w:rsidRDefault="00963C62" w:rsidP="007409BE">
      <w:pPr>
        <w:spacing w:before="240" w:line="240" w:lineRule="auto"/>
        <w:rPr>
          <w:rFonts w:cs="Arial"/>
          <w:b/>
          <w:szCs w:val="24"/>
          <w:u w:val="single"/>
        </w:rPr>
      </w:pPr>
      <w:r>
        <w:rPr>
          <w:rFonts w:cs="Arial"/>
          <w:b/>
          <w:szCs w:val="24"/>
          <w:u w:val="single"/>
        </w:rPr>
        <w:t>A</w:t>
      </w:r>
      <w:r w:rsidR="00595E69" w:rsidRPr="00F911C0">
        <w:rPr>
          <w:rFonts w:cs="Arial"/>
          <w:b/>
          <w:szCs w:val="24"/>
          <w:u w:val="single"/>
        </w:rPr>
        <w:t>uswahlverfahren ILE-Leitprojekte</w:t>
      </w:r>
    </w:p>
    <w:p w:rsidR="00595E69" w:rsidRPr="002F47CA" w:rsidRDefault="00595E69" w:rsidP="003A2B10">
      <w:pPr>
        <w:widowControl w:val="0"/>
        <w:spacing w:before="120" w:line="240" w:lineRule="auto"/>
        <w:rPr>
          <w:rFonts w:cs="Arial"/>
          <w:sz w:val="22"/>
          <w:szCs w:val="22"/>
        </w:rPr>
      </w:pPr>
      <w:r w:rsidRPr="002F47CA">
        <w:rPr>
          <w:rFonts w:cs="Arial"/>
          <w:sz w:val="22"/>
          <w:szCs w:val="22"/>
        </w:rPr>
        <w:t>Die bewilligungsreifen Förderanträge sind an das Landesamt für Landwirtschaft, Umwelt und ländliche Räume</w:t>
      </w:r>
      <w:r>
        <w:rPr>
          <w:rFonts w:cs="Arial"/>
          <w:sz w:val="22"/>
          <w:szCs w:val="22"/>
        </w:rPr>
        <w:t xml:space="preserve"> (LLUR)</w:t>
      </w:r>
      <w:r w:rsidRPr="002F47CA">
        <w:rPr>
          <w:rFonts w:cs="Arial"/>
          <w:sz w:val="22"/>
          <w:szCs w:val="22"/>
        </w:rPr>
        <w:t xml:space="preserve"> zu richten. </w:t>
      </w:r>
    </w:p>
    <w:p w:rsidR="003A2B10" w:rsidRDefault="00595E69" w:rsidP="003A2B10">
      <w:pPr>
        <w:spacing w:before="120" w:after="120" w:line="240" w:lineRule="auto"/>
        <w:rPr>
          <w:rFonts w:cs="Arial"/>
          <w:sz w:val="22"/>
          <w:szCs w:val="22"/>
          <w:lang w:eastAsia="zh-CN"/>
        </w:rPr>
      </w:pPr>
      <w:r w:rsidRPr="00507A9C">
        <w:rPr>
          <w:rFonts w:eastAsia="SimSun" w:cs="Arial"/>
          <w:sz w:val="22"/>
          <w:szCs w:val="22"/>
          <w:lang w:eastAsia="zh-CN"/>
        </w:rPr>
        <w:t xml:space="preserve">Das </w:t>
      </w:r>
      <w:r w:rsidR="00963C62">
        <w:rPr>
          <w:rFonts w:eastAsia="SimSun" w:cs="Arial"/>
          <w:b/>
          <w:sz w:val="22"/>
          <w:szCs w:val="22"/>
          <w:lang w:eastAsia="zh-CN"/>
        </w:rPr>
        <w:t>A</w:t>
      </w:r>
      <w:r w:rsidRPr="00507A9C">
        <w:rPr>
          <w:rFonts w:eastAsia="SimSun" w:cs="Arial"/>
          <w:b/>
          <w:sz w:val="22"/>
          <w:szCs w:val="22"/>
          <w:lang w:eastAsia="zh-CN"/>
        </w:rPr>
        <w:t>uswahlverfahren</w:t>
      </w:r>
      <w:r w:rsidRPr="00507A9C">
        <w:rPr>
          <w:rFonts w:eastAsia="SimSun" w:cs="Arial"/>
          <w:sz w:val="22"/>
          <w:szCs w:val="22"/>
          <w:lang w:eastAsia="zh-CN"/>
        </w:rPr>
        <w:t xml:space="preserve"> für die ELER-Mittel erfolgt zu bestimmten </w:t>
      </w:r>
      <w:r w:rsidRPr="00507A9C">
        <w:rPr>
          <w:rFonts w:eastAsia="SimSun" w:cs="Arial"/>
          <w:b/>
          <w:sz w:val="22"/>
          <w:szCs w:val="22"/>
          <w:lang w:eastAsia="zh-CN"/>
        </w:rPr>
        <w:t>Stichtagen</w:t>
      </w:r>
      <w:r w:rsidRPr="00507A9C">
        <w:rPr>
          <w:rFonts w:eastAsia="SimSun" w:cs="Arial"/>
          <w:sz w:val="22"/>
          <w:szCs w:val="22"/>
          <w:lang w:eastAsia="zh-CN"/>
        </w:rPr>
        <w:t xml:space="preserve"> auf der Grundlage von </w:t>
      </w:r>
      <w:r w:rsidR="00963C62" w:rsidRPr="00963C62">
        <w:rPr>
          <w:rFonts w:eastAsia="SimSun" w:cs="Arial"/>
          <w:b/>
          <w:sz w:val="22"/>
          <w:szCs w:val="22"/>
          <w:lang w:eastAsia="zh-CN"/>
        </w:rPr>
        <w:t>A</w:t>
      </w:r>
      <w:r w:rsidRPr="00507A9C">
        <w:rPr>
          <w:rFonts w:eastAsia="SimSun" w:cs="Arial"/>
          <w:b/>
          <w:sz w:val="22"/>
          <w:szCs w:val="22"/>
          <w:lang w:eastAsia="zh-CN"/>
        </w:rPr>
        <w:t>uswahlkriterien</w:t>
      </w:r>
      <w:r w:rsidRPr="00507A9C">
        <w:rPr>
          <w:rFonts w:eastAsia="SimSun" w:cs="Arial"/>
          <w:sz w:val="22"/>
          <w:szCs w:val="22"/>
          <w:lang w:eastAsia="zh-CN"/>
        </w:rPr>
        <w:t xml:space="preserve"> (</w:t>
      </w:r>
      <w:r w:rsidRPr="00507A9C">
        <w:rPr>
          <w:rFonts w:eastAsia="SimSun" w:cs="Arial"/>
          <w:b/>
          <w:sz w:val="22"/>
          <w:szCs w:val="22"/>
          <w:lang w:eastAsia="zh-CN"/>
        </w:rPr>
        <w:t>Mindestpunktzahl</w:t>
      </w:r>
      <w:r w:rsidRPr="00507A9C">
        <w:rPr>
          <w:rFonts w:eastAsia="SimSun" w:cs="Arial"/>
          <w:sz w:val="22"/>
          <w:szCs w:val="22"/>
          <w:lang w:eastAsia="zh-CN"/>
        </w:rPr>
        <w:t xml:space="preserve"> und </w:t>
      </w:r>
      <w:r w:rsidRPr="00507A9C">
        <w:rPr>
          <w:rFonts w:eastAsia="SimSun" w:cs="Arial"/>
          <w:b/>
          <w:sz w:val="22"/>
          <w:szCs w:val="22"/>
          <w:lang w:eastAsia="zh-CN"/>
        </w:rPr>
        <w:t>Ranking</w:t>
      </w:r>
      <w:r w:rsidRPr="00507A9C">
        <w:rPr>
          <w:rFonts w:eastAsia="SimSun" w:cs="Arial"/>
          <w:sz w:val="22"/>
          <w:szCs w:val="22"/>
          <w:lang w:eastAsia="zh-CN"/>
        </w:rPr>
        <w:t xml:space="preserve"> der Anträge).</w:t>
      </w:r>
      <w:r w:rsidRPr="00507A9C">
        <w:rPr>
          <w:rFonts w:cs="Arial"/>
          <w:sz w:val="22"/>
          <w:szCs w:val="22"/>
          <w:lang w:eastAsia="zh-CN"/>
        </w:rPr>
        <w:t xml:space="preserve"> Die Anträge werden kontinuierlich entgegen genommen. Alle bis zu dem jeweiligen Stichtag vorliegenden Förderanträge werden nach Prüfung auf Förderfähigkeit anhand der Auswahlkriterien mit einem Punktesystem bewertet und in eine Rangfolge gebracht. </w:t>
      </w:r>
    </w:p>
    <w:p w:rsidR="003A2B10" w:rsidRDefault="00595E69" w:rsidP="003A2B10">
      <w:pPr>
        <w:spacing w:before="120" w:after="120" w:line="240" w:lineRule="auto"/>
        <w:rPr>
          <w:rFonts w:cs="Arial"/>
          <w:sz w:val="22"/>
          <w:szCs w:val="22"/>
          <w:lang w:eastAsia="zh-CN"/>
        </w:rPr>
      </w:pPr>
      <w:r w:rsidRPr="00507A9C">
        <w:rPr>
          <w:rFonts w:cs="Arial"/>
          <w:sz w:val="22"/>
          <w:szCs w:val="22"/>
          <w:lang w:eastAsia="zh-CN"/>
        </w:rPr>
        <w:t xml:space="preserve">Die Bewilligung erfolgt entsprechend dieser Rangfolge im Rahmen des </w:t>
      </w:r>
      <w:r w:rsidRPr="00DE449D">
        <w:rPr>
          <w:rFonts w:cs="Arial"/>
          <w:b/>
          <w:sz w:val="22"/>
          <w:szCs w:val="22"/>
          <w:lang w:eastAsia="zh-CN"/>
        </w:rPr>
        <w:t>verfügbaren Finanzmittelbudgets</w:t>
      </w:r>
      <w:r w:rsidRPr="00507A9C">
        <w:rPr>
          <w:rFonts w:cs="Arial"/>
          <w:sz w:val="22"/>
          <w:szCs w:val="22"/>
          <w:lang w:eastAsia="zh-CN"/>
        </w:rPr>
        <w:t>.</w:t>
      </w:r>
      <w:r w:rsidR="004E6718">
        <w:rPr>
          <w:rFonts w:cs="Arial"/>
          <w:sz w:val="22"/>
          <w:szCs w:val="22"/>
          <w:lang w:eastAsia="zh-CN"/>
        </w:rPr>
        <w:t xml:space="preserve"> </w:t>
      </w:r>
      <w:r w:rsidR="004B1729" w:rsidRPr="00507A9C">
        <w:rPr>
          <w:rFonts w:cs="Arial"/>
          <w:sz w:val="22"/>
          <w:szCs w:val="22"/>
          <w:lang w:eastAsia="zh-CN"/>
        </w:rPr>
        <w:t xml:space="preserve">Bei </w:t>
      </w:r>
      <w:r w:rsidR="004B1729" w:rsidRPr="003A2B10">
        <w:rPr>
          <w:rFonts w:cs="Arial"/>
          <w:b/>
          <w:sz w:val="22"/>
          <w:szCs w:val="22"/>
          <w:lang w:eastAsia="zh-CN"/>
        </w:rPr>
        <w:t>Punktgleichheit</w:t>
      </w:r>
      <w:r w:rsidR="004B1729" w:rsidRPr="00507A9C">
        <w:rPr>
          <w:rFonts w:cs="Arial"/>
          <w:sz w:val="22"/>
          <w:szCs w:val="22"/>
          <w:lang w:eastAsia="zh-CN"/>
        </w:rPr>
        <w:t xml:space="preserve"> ergibt sich die Reihenfolge aus der Mehrzahl der höchstgewichteten Kriterien. Bei weiterer Gleichrangigkeit entscheidet das Eingangsdatum des bewilligungsreifen Antrags. </w:t>
      </w:r>
    </w:p>
    <w:p w:rsidR="003A2B10" w:rsidRDefault="00963C62" w:rsidP="003A2B10">
      <w:pPr>
        <w:spacing w:before="120" w:after="120" w:line="240" w:lineRule="auto"/>
        <w:rPr>
          <w:rFonts w:cs="Arial"/>
          <w:sz w:val="22"/>
          <w:szCs w:val="22"/>
          <w:lang w:eastAsia="zh-CN"/>
        </w:rPr>
      </w:pPr>
      <w:r>
        <w:rPr>
          <w:rFonts w:cs="Arial"/>
          <w:sz w:val="22"/>
          <w:szCs w:val="22"/>
          <w:lang w:eastAsia="zh-CN"/>
        </w:rPr>
        <w:t>Vorhaben</w:t>
      </w:r>
      <w:r w:rsidR="006042EB" w:rsidRPr="00507A9C">
        <w:rPr>
          <w:rFonts w:cs="Arial"/>
          <w:sz w:val="22"/>
          <w:szCs w:val="22"/>
          <w:lang w:eastAsia="zh-CN"/>
        </w:rPr>
        <w:t xml:space="preserve">, die zwar die </w:t>
      </w:r>
      <w:r w:rsidR="006042EB" w:rsidRPr="003A2B10">
        <w:rPr>
          <w:rFonts w:cs="Arial"/>
          <w:b/>
          <w:sz w:val="22"/>
          <w:szCs w:val="22"/>
          <w:lang w:eastAsia="zh-CN"/>
        </w:rPr>
        <w:t>Mindestpunktzahl</w:t>
      </w:r>
      <w:r w:rsidR="006042EB" w:rsidRPr="00507A9C">
        <w:rPr>
          <w:rFonts w:cs="Arial"/>
          <w:sz w:val="22"/>
          <w:szCs w:val="22"/>
          <w:lang w:eastAsia="zh-CN"/>
        </w:rPr>
        <w:t xml:space="preserve"> erreicht haben, aber im Ranking mangels ausreichende</w:t>
      </w:r>
      <w:r w:rsidR="006042EB">
        <w:rPr>
          <w:rFonts w:cs="Arial"/>
          <w:sz w:val="22"/>
          <w:szCs w:val="22"/>
          <w:lang w:eastAsia="zh-CN"/>
        </w:rPr>
        <w:t xml:space="preserve">n </w:t>
      </w:r>
      <w:r w:rsidR="006042EB" w:rsidRPr="00507A9C">
        <w:rPr>
          <w:rFonts w:cs="Arial"/>
          <w:sz w:val="22"/>
          <w:szCs w:val="22"/>
          <w:lang w:eastAsia="zh-CN"/>
        </w:rPr>
        <w:t>Budget</w:t>
      </w:r>
      <w:r w:rsidR="006042EB">
        <w:rPr>
          <w:rFonts w:cs="Arial"/>
          <w:sz w:val="22"/>
          <w:szCs w:val="22"/>
          <w:lang w:eastAsia="zh-CN"/>
        </w:rPr>
        <w:t>s</w:t>
      </w:r>
      <w:r w:rsidR="006042EB" w:rsidRPr="00507A9C">
        <w:rPr>
          <w:rFonts w:cs="Arial"/>
          <w:sz w:val="22"/>
          <w:szCs w:val="22"/>
          <w:lang w:eastAsia="zh-CN"/>
        </w:rPr>
        <w:t xml:space="preserve"> nicht berücksichti</w:t>
      </w:r>
      <w:r w:rsidR="006042EB">
        <w:rPr>
          <w:rFonts w:cs="Arial"/>
          <w:sz w:val="22"/>
          <w:szCs w:val="22"/>
          <w:lang w:eastAsia="zh-CN"/>
        </w:rPr>
        <w:t>gt werden konnten, erhalten einen Ablehnungsbescheid und können sich erneut bewerben.</w:t>
      </w:r>
      <w:r w:rsidR="006042EB" w:rsidRPr="00507A9C">
        <w:rPr>
          <w:rFonts w:cs="Arial"/>
          <w:sz w:val="22"/>
          <w:szCs w:val="22"/>
          <w:lang w:eastAsia="zh-CN"/>
        </w:rPr>
        <w:t xml:space="preserve"> </w:t>
      </w:r>
    </w:p>
    <w:p w:rsidR="00DE449D" w:rsidRDefault="00595E69" w:rsidP="003A2B10">
      <w:pPr>
        <w:spacing w:before="120" w:after="120" w:line="240" w:lineRule="auto"/>
        <w:rPr>
          <w:rFonts w:cs="Arial"/>
          <w:b/>
          <w:sz w:val="22"/>
          <w:szCs w:val="22"/>
          <w:lang w:eastAsia="zh-CN"/>
        </w:rPr>
      </w:pPr>
      <w:r w:rsidRPr="00507A9C">
        <w:rPr>
          <w:rFonts w:cs="Arial"/>
          <w:sz w:val="22"/>
          <w:szCs w:val="22"/>
          <w:lang w:eastAsia="zh-CN"/>
        </w:rPr>
        <w:t xml:space="preserve">Förderanträge, die die </w:t>
      </w:r>
      <w:r w:rsidRPr="003A2B10">
        <w:rPr>
          <w:rFonts w:cs="Arial"/>
          <w:b/>
          <w:sz w:val="22"/>
          <w:szCs w:val="22"/>
          <w:lang w:eastAsia="zh-CN"/>
        </w:rPr>
        <w:t>Mindestpunktzahl nicht erreichen</w:t>
      </w:r>
      <w:r w:rsidRPr="00507A9C">
        <w:rPr>
          <w:rFonts w:cs="Arial"/>
          <w:sz w:val="22"/>
          <w:szCs w:val="22"/>
          <w:lang w:eastAsia="zh-CN"/>
        </w:rPr>
        <w:t>, sind von einer Förderung ausgeschlossen. Die Antragsteller erhalten einen Ablehnungsbescheid.</w:t>
      </w:r>
      <w:r w:rsidRPr="00507A9C">
        <w:rPr>
          <w:sz w:val="16"/>
          <w:szCs w:val="16"/>
        </w:rPr>
        <w:t xml:space="preserve"> </w:t>
      </w:r>
      <w:r w:rsidRPr="00507A9C">
        <w:rPr>
          <w:rFonts w:cs="Arial"/>
          <w:sz w:val="22"/>
          <w:szCs w:val="22"/>
          <w:lang w:eastAsia="zh-CN"/>
        </w:rPr>
        <w:t xml:space="preserve">Diese </w:t>
      </w:r>
      <w:r w:rsidR="00963C62">
        <w:rPr>
          <w:rFonts w:cs="Arial"/>
          <w:sz w:val="22"/>
          <w:szCs w:val="22"/>
          <w:lang w:eastAsia="zh-CN"/>
        </w:rPr>
        <w:t>Vorhaben</w:t>
      </w:r>
      <w:r w:rsidRPr="00507A9C">
        <w:rPr>
          <w:rFonts w:cs="Arial"/>
          <w:sz w:val="22"/>
          <w:szCs w:val="22"/>
          <w:lang w:eastAsia="zh-CN"/>
        </w:rPr>
        <w:t xml:space="preserve"> können jedoch bis zum nächsten Auswahlverfahren nachgebessert werden und sich erneut bewerben. </w:t>
      </w:r>
      <w:r w:rsidRPr="00507A9C">
        <w:rPr>
          <w:rFonts w:cs="Arial"/>
          <w:sz w:val="22"/>
          <w:szCs w:val="22"/>
          <w:lang w:eastAsia="zh-CN"/>
        </w:rPr>
        <w:br/>
      </w:r>
    </w:p>
    <w:p w:rsidR="00760439" w:rsidRPr="00085968" w:rsidRDefault="00760439" w:rsidP="00DE449D">
      <w:pPr>
        <w:spacing w:after="120" w:line="240" w:lineRule="auto"/>
        <w:rPr>
          <w:rFonts w:cs="Arial"/>
          <w:b/>
          <w:szCs w:val="24"/>
          <w:u w:val="single"/>
        </w:rPr>
      </w:pPr>
      <w:r>
        <w:rPr>
          <w:rFonts w:cs="Arial"/>
          <w:b/>
          <w:szCs w:val="24"/>
          <w:u w:val="single"/>
        </w:rPr>
        <w:t>Rechts</w:t>
      </w:r>
      <w:r w:rsidRPr="00085968">
        <w:rPr>
          <w:rFonts w:cs="Arial"/>
          <w:b/>
          <w:szCs w:val="24"/>
          <w:u w:val="single"/>
        </w:rPr>
        <w:t>grundlagen</w:t>
      </w:r>
    </w:p>
    <w:p w:rsidR="00760439" w:rsidRDefault="00760439" w:rsidP="004E6718">
      <w:pPr>
        <w:numPr>
          <w:ilvl w:val="0"/>
          <w:numId w:val="10"/>
        </w:numPr>
        <w:spacing w:after="200" w:line="240" w:lineRule="auto"/>
        <w:ind w:left="426" w:hanging="426"/>
        <w:contextualSpacing/>
        <w:rPr>
          <w:rFonts w:eastAsiaTheme="minorEastAsia" w:cs="Arial"/>
          <w:sz w:val="22"/>
          <w:szCs w:val="22"/>
          <w:lang w:eastAsia="zh-CN"/>
        </w:rPr>
      </w:pPr>
      <w:r w:rsidRPr="00085968">
        <w:rPr>
          <w:rFonts w:eastAsiaTheme="minorEastAsia" w:cs="Arial"/>
          <w:sz w:val="22"/>
          <w:szCs w:val="22"/>
          <w:lang w:eastAsia="zh-CN"/>
        </w:rPr>
        <w:t xml:space="preserve">Richtlinie zur Förderung der integrierten ländlichen Entwicklung in Schleswig-Holstein in der jeweils geltenden Fassung (ILE-Richtlinie) </w:t>
      </w:r>
    </w:p>
    <w:p w:rsidR="00760439" w:rsidRDefault="00760439" w:rsidP="004E6718">
      <w:pPr>
        <w:numPr>
          <w:ilvl w:val="0"/>
          <w:numId w:val="10"/>
        </w:numPr>
        <w:spacing w:line="240" w:lineRule="auto"/>
        <w:ind w:left="426" w:hanging="426"/>
        <w:contextualSpacing/>
        <w:rPr>
          <w:rFonts w:eastAsiaTheme="minorEastAsia" w:cs="Arial"/>
          <w:sz w:val="22"/>
          <w:szCs w:val="22"/>
          <w:lang w:eastAsia="zh-CN"/>
        </w:rPr>
      </w:pPr>
      <w:r>
        <w:rPr>
          <w:rFonts w:eastAsiaTheme="minorEastAsia" w:cs="Arial"/>
          <w:sz w:val="22"/>
          <w:szCs w:val="22"/>
          <w:lang w:eastAsia="zh-CN"/>
        </w:rPr>
        <w:t xml:space="preserve">GAK Rahmenplan, Förderbereich ILE / Nationale Rahmenregelung </w:t>
      </w:r>
      <w:r w:rsidRPr="00B1625B">
        <w:rPr>
          <w:rFonts w:eastAsiaTheme="minorEastAsia" w:cs="Arial"/>
          <w:sz w:val="22"/>
          <w:szCs w:val="22"/>
          <w:lang w:eastAsia="zh-CN"/>
        </w:rPr>
        <w:t>(NRR) in</w:t>
      </w:r>
      <w:r>
        <w:rPr>
          <w:rFonts w:eastAsiaTheme="minorEastAsia" w:cs="Arial"/>
          <w:sz w:val="22"/>
          <w:szCs w:val="22"/>
          <w:lang w:eastAsia="zh-CN"/>
        </w:rPr>
        <w:t xml:space="preserve"> der jeweils geltenden Fassung</w:t>
      </w:r>
    </w:p>
    <w:p w:rsidR="00760439" w:rsidRDefault="00760439" w:rsidP="004E6718">
      <w:pPr>
        <w:pStyle w:val="Listenabsatz"/>
        <w:numPr>
          <w:ilvl w:val="0"/>
          <w:numId w:val="10"/>
        </w:numPr>
        <w:ind w:left="426" w:hanging="426"/>
        <w:rPr>
          <w:rFonts w:ascii="Arial" w:eastAsiaTheme="minorEastAsia" w:hAnsi="Arial" w:cs="Arial"/>
          <w:sz w:val="22"/>
          <w:szCs w:val="22"/>
        </w:rPr>
      </w:pPr>
      <w:r w:rsidRPr="00085968">
        <w:rPr>
          <w:rFonts w:ascii="Arial" w:eastAsiaTheme="minorEastAsia" w:hAnsi="Arial" w:cs="Arial"/>
          <w:sz w:val="22"/>
          <w:szCs w:val="22"/>
        </w:rPr>
        <w:t xml:space="preserve">Artikel 20 der Verordnung (EU) </w:t>
      </w:r>
      <w:hyperlink r:id="rId9" w:history="1">
        <w:r w:rsidRPr="00085968">
          <w:rPr>
            <w:rFonts w:ascii="Arial" w:eastAsiaTheme="minorEastAsia" w:hAnsi="Arial" w:cs="Arial"/>
            <w:sz w:val="22"/>
            <w:szCs w:val="22"/>
          </w:rPr>
          <w:t>Nr. 1305/2013</w:t>
        </w:r>
      </w:hyperlink>
    </w:p>
    <w:p w:rsidR="00760439" w:rsidRDefault="00760439" w:rsidP="004E6718">
      <w:pPr>
        <w:pStyle w:val="Listenabsatz"/>
        <w:numPr>
          <w:ilvl w:val="0"/>
          <w:numId w:val="10"/>
        </w:numPr>
        <w:ind w:left="426" w:hanging="426"/>
        <w:rPr>
          <w:rFonts w:ascii="Arial" w:eastAsiaTheme="minorEastAsia" w:hAnsi="Arial" w:cs="Arial"/>
          <w:sz w:val="22"/>
          <w:szCs w:val="22"/>
        </w:rPr>
      </w:pPr>
      <w:r>
        <w:rPr>
          <w:rFonts w:ascii="Arial" w:eastAsiaTheme="minorEastAsia" w:hAnsi="Arial" w:cs="Arial"/>
          <w:sz w:val="22"/>
          <w:szCs w:val="22"/>
        </w:rPr>
        <w:t xml:space="preserve">Verordnung </w:t>
      </w:r>
      <w:r w:rsidRPr="00401E3A">
        <w:rPr>
          <w:rFonts w:ascii="Arial" w:eastAsiaTheme="minorEastAsia" w:hAnsi="Arial" w:cs="Arial"/>
          <w:sz w:val="22"/>
          <w:szCs w:val="22"/>
        </w:rPr>
        <w:t>(EU) Nr. 1303/2013 in Verbindung mit der Verordnung (EU) Nr. 1305/2013 inkl. den dazugehörigen delegierten Rechtsakten, insbesondere VO (EU) Nr. 809/2014 und 640/2014</w:t>
      </w:r>
    </w:p>
    <w:p w:rsidR="00760439" w:rsidRDefault="00760439" w:rsidP="004E6718">
      <w:pPr>
        <w:pStyle w:val="Listenabsatz"/>
        <w:numPr>
          <w:ilvl w:val="0"/>
          <w:numId w:val="10"/>
        </w:numPr>
        <w:ind w:left="426" w:hanging="426"/>
        <w:rPr>
          <w:rFonts w:ascii="Arial" w:eastAsiaTheme="minorEastAsia" w:hAnsi="Arial" w:cs="Arial"/>
          <w:sz w:val="22"/>
          <w:szCs w:val="22"/>
        </w:rPr>
      </w:pPr>
      <w:r>
        <w:rPr>
          <w:rFonts w:ascii="Arial" w:eastAsiaTheme="minorEastAsia" w:hAnsi="Arial" w:cs="Arial"/>
          <w:sz w:val="22"/>
          <w:szCs w:val="22"/>
        </w:rPr>
        <w:t>§ 44 LHO und die entsprechenden Verwaltungsvorschriften</w:t>
      </w:r>
    </w:p>
    <w:p w:rsidR="00760439" w:rsidRPr="00085968" w:rsidRDefault="00760439" w:rsidP="004E6718">
      <w:pPr>
        <w:pStyle w:val="Listenabsatz"/>
        <w:numPr>
          <w:ilvl w:val="0"/>
          <w:numId w:val="10"/>
        </w:numPr>
        <w:ind w:left="426" w:hanging="426"/>
        <w:rPr>
          <w:rFonts w:ascii="Arial" w:eastAsiaTheme="minorEastAsia" w:hAnsi="Arial" w:cs="Arial"/>
          <w:sz w:val="22"/>
          <w:szCs w:val="22"/>
        </w:rPr>
      </w:pPr>
      <w:r>
        <w:rPr>
          <w:rFonts w:ascii="Arial" w:eastAsiaTheme="minorEastAsia" w:hAnsi="Arial" w:cs="Arial"/>
          <w:sz w:val="22"/>
          <w:szCs w:val="22"/>
        </w:rPr>
        <w:t>Landesprogramm ländlicher Raum (LPLR)</w:t>
      </w:r>
    </w:p>
    <w:p w:rsidR="00B14183" w:rsidRPr="00156887" w:rsidRDefault="00B14183" w:rsidP="00CF243D">
      <w:pPr>
        <w:spacing w:before="240" w:afterLines="50" w:after="120" w:line="240" w:lineRule="auto"/>
        <w:rPr>
          <w:rFonts w:eastAsiaTheme="minorEastAsia" w:cs="Arial"/>
          <w:color w:val="000000" w:themeColor="text1"/>
          <w:kern w:val="24"/>
          <w:sz w:val="22"/>
          <w:szCs w:val="22"/>
          <w:lang w:eastAsia="zh-CN"/>
        </w:rPr>
      </w:pPr>
      <w:r w:rsidRPr="00142258">
        <w:rPr>
          <w:rFonts w:cs="Arial"/>
          <w:b/>
          <w:u w:val="single"/>
        </w:rPr>
        <w:t>Ansprechpartner</w:t>
      </w:r>
      <w:r w:rsidRPr="00A00A31">
        <w:rPr>
          <w:rFonts w:cs="Arial"/>
          <w:b/>
        </w:rPr>
        <w:t xml:space="preserve"> </w:t>
      </w:r>
      <w:r>
        <w:rPr>
          <w:rFonts w:cs="Arial"/>
          <w:b/>
        </w:rPr>
        <w:br/>
      </w:r>
      <w:r w:rsidRPr="00A00A31">
        <w:rPr>
          <w:rFonts w:cs="Arial"/>
          <w:b/>
        </w:rPr>
        <w:br/>
      </w:r>
      <w:r w:rsidRPr="00156887">
        <w:rPr>
          <w:rFonts w:cs="Arial"/>
          <w:sz w:val="22"/>
          <w:szCs w:val="22"/>
        </w:rPr>
        <w:t xml:space="preserve">Projektberatung und Einreichung der Antragsunterlagen bei dem jeweils zuständigen </w:t>
      </w:r>
      <w:r w:rsidRPr="00156887">
        <w:rPr>
          <w:rFonts w:eastAsiaTheme="minorEastAsia" w:cs="Arial"/>
          <w:color w:val="000000" w:themeColor="text1"/>
          <w:kern w:val="24"/>
          <w:sz w:val="22"/>
          <w:szCs w:val="22"/>
          <w:lang w:eastAsia="zh-CN"/>
        </w:rPr>
        <w:t>Regionaldezernat des Landesamtes für Landwirtschaft, Umwelt und ländliche Räume (LLUR):</w:t>
      </w:r>
    </w:p>
    <w:tbl>
      <w:tblPr>
        <w:tblpPr w:leftFromText="141" w:rightFromText="141" w:vertAnchor="text" w:tblpX="86"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4819"/>
      </w:tblGrid>
      <w:tr w:rsidR="00B14183" w:rsidRPr="00156887" w:rsidTr="004E6718">
        <w:trPr>
          <w:trHeight w:val="983"/>
        </w:trPr>
        <w:tc>
          <w:tcPr>
            <w:tcW w:w="4465" w:type="dxa"/>
          </w:tcPr>
          <w:p w:rsidR="00B14183" w:rsidRPr="00156887" w:rsidRDefault="009D68C9" w:rsidP="006042EB">
            <w:pPr>
              <w:kinsoku w:val="0"/>
              <w:overflowPunct w:val="0"/>
              <w:spacing w:line="240" w:lineRule="auto"/>
              <w:textAlignment w:val="baseline"/>
              <w:rPr>
                <w:rFonts w:cs="Arial"/>
                <w:sz w:val="22"/>
                <w:szCs w:val="22"/>
                <w:lang w:eastAsia="zh-CN"/>
              </w:rPr>
            </w:pPr>
            <w:r>
              <w:rPr>
                <w:rFonts w:eastAsiaTheme="minorEastAsia" w:cs="Arial"/>
                <w:b/>
                <w:color w:val="000000" w:themeColor="text1"/>
                <w:kern w:val="24"/>
                <w:sz w:val="22"/>
                <w:szCs w:val="22"/>
                <w:lang w:eastAsia="zh-CN"/>
              </w:rPr>
              <w:lastRenderedPageBreak/>
              <w:br/>
            </w:r>
            <w:r w:rsidR="00B14183" w:rsidRPr="00156887">
              <w:rPr>
                <w:rFonts w:eastAsiaTheme="minorEastAsia" w:cs="Arial"/>
                <w:b/>
                <w:color w:val="000000" w:themeColor="text1"/>
                <w:kern w:val="24"/>
                <w:sz w:val="22"/>
                <w:szCs w:val="22"/>
                <w:lang w:eastAsia="zh-CN"/>
              </w:rPr>
              <w:t>Regionaldezernat Nord</w:t>
            </w:r>
            <w:r w:rsidR="00B14183" w:rsidRPr="00156887">
              <w:rPr>
                <w:rFonts w:eastAsiaTheme="minorEastAsia" w:cs="Arial"/>
                <w:color w:val="000000" w:themeColor="text1"/>
                <w:kern w:val="24"/>
                <w:sz w:val="22"/>
                <w:szCs w:val="22"/>
                <w:lang w:eastAsia="zh-CN"/>
              </w:rPr>
              <w:br/>
              <w:t xml:space="preserve">Bahnhofstraße 38, 24937 Flensburg </w:t>
            </w:r>
          </w:p>
          <w:p w:rsidR="00B14183" w:rsidRPr="00156887" w:rsidRDefault="00B14183" w:rsidP="006042EB">
            <w:pPr>
              <w:kinsoku w:val="0"/>
              <w:overflowPunct w:val="0"/>
              <w:spacing w:line="240" w:lineRule="auto"/>
              <w:textAlignment w:val="baseline"/>
              <w:rPr>
                <w:rFonts w:cs="Arial"/>
                <w:sz w:val="22"/>
                <w:szCs w:val="22"/>
                <w:lang w:eastAsia="zh-CN"/>
              </w:rPr>
            </w:pPr>
            <w:r w:rsidRPr="00156887">
              <w:rPr>
                <w:rFonts w:eastAsiaTheme="minorEastAsia" w:cs="Arial"/>
                <w:color w:val="000000" w:themeColor="text1"/>
                <w:kern w:val="24"/>
                <w:sz w:val="22"/>
                <w:szCs w:val="22"/>
                <w:lang w:eastAsia="zh-CN"/>
              </w:rPr>
              <w:t>Norbert Limberg</w:t>
            </w:r>
            <w:r w:rsidRPr="00156887">
              <w:rPr>
                <w:rFonts w:eastAsiaTheme="minorEastAsia" w:cs="Arial"/>
                <w:color w:val="000000" w:themeColor="text1"/>
                <w:kern w:val="24"/>
                <w:sz w:val="22"/>
                <w:szCs w:val="22"/>
                <w:lang w:eastAsia="zh-CN"/>
              </w:rPr>
              <w:br/>
              <w:t>Telefon 0461-804-300</w:t>
            </w:r>
          </w:p>
          <w:p w:rsidR="00B14183" w:rsidRPr="00156887" w:rsidRDefault="00B14183" w:rsidP="006042EB">
            <w:pPr>
              <w:kinsoku w:val="0"/>
              <w:overflowPunct w:val="0"/>
              <w:spacing w:line="240" w:lineRule="auto"/>
              <w:textAlignment w:val="baseline"/>
              <w:rPr>
                <w:rFonts w:eastAsiaTheme="minorEastAsia" w:cs="Arial"/>
                <w:color w:val="000000" w:themeColor="text1"/>
                <w:kern w:val="24"/>
                <w:sz w:val="22"/>
                <w:szCs w:val="22"/>
                <w:lang w:eastAsia="zh-CN"/>
              </w:rPr>
            </w:pPr>
            <w:r w:rsidRPr="00156887">
              <w:rPr>
                <w:rFonts w:eastAsiaTheme="minorEastAsia" w:cs="Arial"/>
                <w:color w:val="000000" w:themeColor="text1"/>
                <w:kern w:val="24"/>
                <w:sz w:val="22"/>
                <w:szCs w:val="22"/>
                <w:lang w:eastAsia="zh-CN"/>
              </w:rPr>
              <w:t xml:space="preserve">E-mail </w:t>
            </w:r>
            <w:hyperlink r:id="rId10" w:history="1">
              <w:r w:rsidRPr="00156887">
                <w:rPr>
                  <w:rStyle w:val="Hyperlink"/>
                  <w:rFonts w:eastAsiaTheme="minorEastAsia" w:cs="Arial"/>
                  <w:kern w:val="24"/>
                  <w:sz w:val="22"/>
                  <w:szCs w:val="22"/>
                  <w:lang w:eastAsia="zh-CN"/>
                </w:rPr>
                <w:t>Norbert.Limberg@llur.landsh.de</w:t>
              </w:r>
            </w:hyperlink>
            <w:r w:rsidRPr="00156887">
              <w:rPr>
                <w:rFonts w:eastAsiaTheme="minorEastAsia" w:cs="Arial"/>
                <w:color w:val="000000" w:themeColor="text1"/>
                <w:kern w:val="24"/>
                <w:sz w:val="22"/>
                <w:szCs w:val="22"/>
                <w:lang w:eastAsia="zh-CN"/>
              </w:rPr>
              <w:t xml:space="preserve">  </w:t>
            </w:r>
          </w:p>
          <w:p w:rsidR="00B14183" w:rsidRPr="00156887" w:rsidRDefault="00B14183" w:rsidP="006042EB">
            <w:pPr>
              <w:kinsoku w:val="0"/>
              <w:overflowPunct w:val="0"/>
              <w:spacing w:line="240" w:lineRule="auto"/>
              <w:textAlignment w:val="baseline"/>
              <w:rPr>
                <w:rFonts w:cs="Arial"/>
                <w:sz w:val="22"/>
                <w:szCs w:val="22"/>
                <w:lang w:eastAsia="zh-CN"/>
              </w:rPr>
            </w:pPr>
            <w:r w:rsidRPr="00156887">
              <w:rPr>
                <w:rFonts w:eastAsiaTheme="minorEastAsia" w:cs="Arial"/>
                <w:color w:val="000000" w:themeColor="text1"/>
                <w:kern w:val="24"/>
                <w:sz w:val="22"/>
                <w:szCs w:val="22"/>
                <w:lang w:eastAsia="zh-CN"/>
              </w:rPr>
              <w:br/>
              <w:t xml:space="preserve">Jan-Nils Klindt </w:t>
            </w:r>
          </w:p>
          <w:p w:rsidR="00B14183" w:rsidRPr="00156887" w:rsidRDefault="00B14183" w:rsidP="006042EB">
            <w:pPr>
              <w:kinsoku w:val="0"/>
              <w:overflowPunct w:val="0"/>
              <w:spacing w:line="240" w:lineRule="auto"/>
              <w:textAlignment w:val="baseline"/>
              <w:rPr>
                <w:rFonts w:cs="Arial"/>
                <w:sz w:val="22"/>
                <w:szCs w:val="22"/>
                <w:lang w:eastAsia="zh-CN"/>
              </w:rPr>
            </w:pPr>
            <w:r w:rsidRPr="00156887">
              <w:rPr>
                <w:rFonts w:eastAsiaTheme="minorEastAsia" w:cs="Arial"/>
                <w:color w:val="000000" w:themeColor="text1"/>
                <w:kern w:val="24"/>
                <w:sz w:val="22"/>
                <w:szCs w:val="22"/>
                <w:lang w:eastAsia="zh-CN"/>
              </w:rPr>
              <w:t>Telefon 0461-804-274</w:t>
            </w:r>
          </w:p>
          <w:p w:rsidR="00B14183" w:rsidRPr="00156887" w:rsidRDefault="00B14183" w:rsidP="006042EB">
            <w:pPr>
              <w:kinsoku w:val="0"/>
              <w:overflowPunct w:val="0"/>
              <w:spacing w:line="240" w:lineRule="auto"/>
              <w:textAlignment w:val="baseline"/>
              <w:rPr>
                <w:rFonts w:eastAsiaTheme="minorEastAsia" w:cs="Arial"/>
                <w:b/>
                <w:color w:val="000000" w:themeColor="text1"/>
                <w:kern w:val="24"/>
                <w:sz w:val="22"/>
                <w:szCs w:val="22"/>
                <w:lang w:eastAsia="zh-CN"/>
              </w:rPr>
            </w:pPr>
            <w:r w:rsidRPr="00156887">
              <w:rPr>
                <w:rFonts w:eastAsiaTheme="minorEastAsia" w:cs="Arial"/>
                <w:color w:val="000000" w:themeColor="text1"/>
                <w:kern w:val="24"/>
                <w:sz w:val="22"/>
                <w:szCs w:val="22"/>
                <w:lang w:eastAsia="zh-CN"/>
              </w:rPr>
              <w:t xml:space="preserve">E-mail </w:t>
            </w:r>
            <w:hyperlink r:id="rId11" w:history="1">
              <w:r w:rsidRPr="00156887">
                <w:rPr>
                  <w:rStyle w:val="Hyperlink"/>
                  <w:rFonts w:eastAsiaTheme="minorEastAsia" w:cs="Arial"/>
                  <w:kern w:val="24"/>
                  <w:sz w:val="22"/>
                  <w:szCs w:val="22"/>
                  <w:lang w:eastAsia="zh-CN"/>
                </w:rPr>
                <w:t>Jan-Nils.Klindt@llur.landsh.de</w:t>
              </w:r>
            </w:hyperlink>
            <w:r w:rsidRPr="00156887">
              <w:rPr>
                <w:rFonts w:eastAsiaTheme="minorEastAsia" w:cs="Arial"/>
                <w:color w:val="000000" w:themeColor="text1"/>
                <w:kern w:val="24"/>
                <w:sz w:val="22"/>
                <w:szCs w:val="22"/>
                <w:lang w:eastAsia="zh-CN"/>
              </w:rPr>
              <w:t xml:space="preserve">   </w:t>
            </w:r>
          </w:p>
        </w:tc>
        <w:tc>
          <w:tcPr>
            <w:tcW w:w="4819" w:type="dxa"/>
            <w:shd w:val="clear" w:color="auto" w:fill="auto"/>
          </w:tcPr>
          <w:p w:rsidR="00760439" w:rsidRPr="00760439" w:rsidRDefault="009D68C9" w:rsidP="006042EB">
            <w:pPr>
              <w:kinsoku w:val="0"/>
              <w:overflowPunct w:val="0"/>
              <w:spacing w:line="240" w:lineRule="auto"/>
              <w:textAlignment w:val="baseline"/>
              <w:rPr>
                <w:rFonts w:cs="Arial"/>
                <w:b/>
                <w:sz w:val="22"/>
                <w:szCs w:val="22"/>
                <w:lang w:eastAsia="zh-CN"/>
              </w:rPr>
            </w:pPr>
            <w:r>
              <w:rPr>
                <w:rFonts w:eastAsiaTheme="minorEastAsia" w:cs="Arial"/>
                <w:b/>
                <w:color w:val="000000" w:themeColor="text1"/>
                <w:kern w:val="24"/>
                <w:sz w:val="22"/>
                <w:szCs w:val="22"/>
                <w:lang w:eastAsia="zh-CN"/>
              </w:rPr>
              <w:br/>
            </w:r>
            <w:r w:rsidR="00235F29">
              <w:rPr>
                <w:rFonts w:eastAsiaTheme="minorEastAsia" w:cs="Arial"/>
                <w:b/>
                <w:color w:val="000000" w:themeColor="text1"/>
                <w:kern w:val="24"/>
                <w:sz w:val="22"/>
                <w:szCs w:val="22"/>
                <w:lang w:eastAsia="zh-CN"/>
              </w:rPr>
              <w:t>Zentraldezernat</w:t>
            </w:r>
            <w:r w:rsidR="00760439" w:rsidRPr="00760439">
              <w:rPr>
                <w:rFonts w:eastAsiaTheme="minorEastAsia" w:cs="Arial"/>
                <w:b/>
                <w:color w:val="000000" w:themeColor="text1"/>
                <w:kern w:val="24"/>
                <w:sz w:val="22"/>
                <w:szCs w:val="22"/>
                <w:lang w:eastAsia="zh-CN"/>
              </w:rPr>
              <w:t xml:space="preserve"> </w:t>
            </w:r>
            <w:r w:rsidR="00E26331">
              <w:rPr>
                <w:rFonts w:eastAsiaTheme="minorEastAsia" w:cs="Arial"/>
                <w:b/>
                <w:color w:val="000000" w:themeColor="text1"/>
                <w:kern w:val="24"/>
                <w:sz w:val="22"/>
                <w:szCs w:val="22"/>
                <w:lang w:eastAsia="zh-CN"/>
              </w:rPr>
              <w:t>(Regionaldezernat Mitte)</w:t>
            </w:r>
          </w:p>
          <w:p w:rsidR="00760439" w:rsidRPr="00760439" w:rsidRDefault="00760439" w:rsidP="006042EB">
            <w:pPr>
              <w:kinsoku w:val="0"/>
              <w:overflowPunct w:val="0"/>
              <w:spacing w:line="240" w:lineRule="auto"/>
              <w:textAlignment w:val="baseline"/>
              <w:rPr>
                <w:rFonts w:cs="Arial"/>
                <w:sz w:val="22"/>
                <w:szCs w:val="22"/>
                <w:lang w:eastAsia="zh-CN"/>
              </w:rPr>
            </w:pPr>
            <w:r w:rsidRPr="00760439">
              <w:rPr>
                <w:rFonts w:eastAsiaTheme="minorEastAsia" w:cs="Arial"/>
                <w:color w:val="000000" w:themeColor="text1"/>
                <w:kern w:val="24"/>
                <w:sz w:val="22"/>
                <w:szCs w:val="22"/>
                <w:lang w:eastAsia="zh-CN"/>
              </w:rPr>
              <w:t xml:space="preserve">Hamburger Chaussee 25, 24220 Flintbek </w:t>
            </w:r>
          </w:p>
          <w:p w:rsidR="00A73435" w:rsidRDefault="00235F29" w:rsidP="006042EB">
            <w:pPr>
              <w:kinsoku w:val="0"/>
              <w:overflowPunct w:val="0"/>
              <w:spacing w:line="240" w:lineRule="auto"/>
              <w:textAlignment w:val="baseline"/>
              <w:rPr>
                <w:rFonts w:cs="Arial"/>
                <w:sz w:val="22"/>
                <w:szCs w:val="22"/>
                <w:lang w:eastAsia="zh-CN"/>
              </w:rPr>
            </w:pPr>
            <w:r>
              <w:rPr>
                <w:rFonts w:eastAsiaTheme="minorEastAsia" w:cs="Arial"/>
                <w:color w:val="000000" w:themeColor="text1"/>
                <w:kern w:val="24"/>
                <w:sz w:val="22"/>
                <w:szCs w:val="22"/>
                <w:lang w:eastAsia="zh-CN"/>
              </w:rPr>
              <w:t>Sören Bronsert</w:t>
            </w:r>
            <w:r w:rsidR="00A73435">
              <w:rPr>
                <w:rFonts w:eastAsiaTheme="minorEastAsia" w:cs="Arial"/>
                <w:color w:val="000000" w:themeColor="text1"/>
                <w:kern w:val="24"/>
                <w:sz w:val="22"/>
                <w:szCs w:val="22"/>
                <w:lang w:eastAsia="zh-CN"/>
              </w:rPr>
              <w:br/>
              <w:t>Telefon 04347-704-</w:t>
            </w:r>
            <w:r>
              <w:rPr>
                <w:rFonts w:eastAsiaTheme="minorEastAsia" w:cs="Arial"/>
                <w:color w:val="000000" w:themeColor="text1"/>
                <w:kern w:val="24"/>
                <w:sz w:val="22"/>
                <w:szCs w:val="22"/>
                <w:lang w:eastAsia="zh-CN"/>
              </w:rPr>
              <w:t>604</w:t>
            </w:r>
          </w:p>
          <w:p w:rsidR="00B14183" w:rsidRPr="00156887" w:rsidRDefault="00A73435" w:rsidP="006042EB">
            <w:pPr>
              <w:spacing w:line="240" w:lineRule="auto"/>
              <w:rPr>
                <w:rFonts w:eastAsiaTheme="minorEastAsia" w:cs="Arial"/>
                <w:b/>
                <w:color w:val="000000" w:themeColor="text1"/>
                <w:kern w:val="24"/>
                <w:sz w:val="22"/>
                <w:szCs w:val="22"/>
                <w:lang w:eastAsia="zh-CN"/>
              </w:rPr>
            </w:pPr>
            <w:r>
              <w:rPr>
                <w:rFonts w:eastAsiaTheme="minorEastAsia" w:cs="Arial"/>
                <w:color w:val="000000" w:themeColor="text1"/>
                <w:kern w:val="24"/>
                <w:sz w:val="22"/>
                <w:szCs w:val="22"/>
                <w:lang w:eastAsia="zh-CN"/>
              </w:rPr>
              <w:t xml:space="preserve">E-mail </w:t>
            </w:r>
            <w:hyperlink r:id="rId12" w:history="1">
              <w:r w:rsidR="00235F29">
                <w:rPr>
                  <w:rStyle w:val="Hyperlink"/>
                  <w:rFonts w:eastAsiaTheme="minorEastAsia"/>
                  <w:kern w:val="24"/>
                  <w:sz w:val="22"/>
                  <w:szCs w:val="22"/>
                  <w:lang w:eastAsia="zh-CN"/>
                </w:rPr>
                <w:t>Soeren.Bronsert@llur.landsh.de</w:t>
              </w:r>
            </w:hyperlink>
            <w:r>
              <w:rPr>
                <w:rFonts w:eastAsiaTheme="minorEastAsia" w:cs="Arial"/>
                <w:color w:val="000000" w:themeColor="text1"/>
                <w:kern w:val="24"/>
                <w:sz w:val="22"/>
                <w:szCs w:val="22"/>
                <w:lang w:eastAsia="zh-CN"/>
              </w:rPr>
              <w:t xml:space="preserve">   </w:t>
            </w:r>
          </w:p>
        </w:tc>
      </w:tr>
      <w:tr w:rsidR="00B14183" w:rsidRPr="00156887" w:rsidTr="004E6718">
        <w:trPr>
          <w:trHeight w:val="1460"/>
        </w:trPr>
        <w:tc>
          <w:tcPr>
            <w:tcW w:w="4465" w:type="dxa"/>
          </w:tcPr>
          <w:p w:rsidR="00B14183" w:rsidRPr="00156887" w:rsidRDefault="00B14183" w:rsidP="00B15947">
            <w:pPr>
              <w:kinsoku w:val="0"/>
              <w:overflowPunct w:val="0"/>
              <w:spacing w:line="240" w:lineRule="auto"/>
              <w:textAlignment w:val="baseline"/>
              <w:rPr>
                <w:rFonts w:cs="Arial"/>
                <w:b/>
                <w:sz w:val="22"/>
                <w:szCs w:val="22"/>
                <w:lang w:eastAsia="zh-CN"/>
              </w:rPr>
            </w:pPr>
            <w:r w:rsidRPr="00156887">
              <w:rPr>
                <w:rFonts w:eastAsiaTheme="minorEastAsia" w:cs="Arial"/>
                <w:b/>
                <w:color w:val="000000" w:themeColor="text1"/>
                <w:kern w:val="24"/>
                <w:sz w:val="22"/>
                <w:szCs w:val="22"/>
                <w:lang w:eastAsia="zh-CN"/>
              </w:rPr>
              <w:br/>
              <w:t xml:space="preserve">Regionaldezernat Südost </w:t>
            </w:r>
          </w:p>
          <w:p w:rsidR="00B14183" w:rsidRPr="00156887" w:rsidRDefault="00B14183" w:rsidP="00B15947">
            <w:pPr>
              <w:kinsoku w:val="0"/>
              <w:overflowPunct w:val="0"/>
              <w:spacing w:line="240" w:lineRule="auto"/>
              <w:textAlignment w:val="baseline"/>
              <w:rPr>
                <w:rFonts w:cs="Arial"/>
                <w:sz w:val="22"/>
                <w:szCs w:val="22"/>
                <w:lang w:eastAsia="zh-CN"/>
              </w:rPr>
            </w:pPr>
            <w:r w:rsidRPr="00156887">
              <w:rPr>
                <w:rFonts w:eastAsiaTheme="minorEastAsia" w:cs="Arial"/>
                <w:color w:val="000000" w:themeColor="text1"/>
                <w:kern w:val="24"/>
                <w:sz w:val="22"/>
                <w:szCs w:val="22"/>
                <w:lang w:eastAsia="zh-CN"/>
              </w:rPr>
              <w:t>Meesenring 9, 23566 Lübeck</w:t>
            </w:r>
            <w:r w:rsidRPr="00156887">
              <w:rPr>
                <w:rFonts w:eastAsiaTheme="minorEastAsia" w:cs="Arial"/>
                <w:color w:val="000000" w:themeColor="text1"/>
                <w:kern w:val="24"/>
                <w:sz w:val="22"/>
                <w:szCs w:val="22"/>
                <w:lang w:eastAsia="zh-CN"/>
              </w:rPr>
              <w:br/>
              <w:t>Axel Strunk</w:t>
            </w:r>
          </w:p>
          <w:p w:rsidR="00B14183" w:rsidRPr="00156887" w:rsidRDefault="00B14183" w:rsidP="00B15947">
            <w:pPr>
              <w:kinsoku w:val="0"/>
              <w:overflowPunct w:val="0"/>
              <w:spacing w:line="240" w:lineRule="auto"/>
              <w:textAlignment w:val="baseline"/>
              <w:rPr>
                <w:rFonts w:cs="Arial"/>
                <w:sz w:val="22"/>
                <w:szCs w:val="22"/>
                <w:lang w:eastAsia="zh-CN"/>
              </w:rPr>
            </w:pPr>
            <w:r w:rsidRPr="00156887">
              <w:rPr>
                <w:rFonts w:eastAsiaTheme="minorEastAsia" w:cs="Arial"/>
                <w:color w:val="000000" w:themeColor="text1"/>
                <w:kern w:val="24"/>
                <w:sz w:val="22"/>
                <w:szCs w:val="22"/>
                <w:lang w:eastAsia="zh-CN"/>
              </w:rPr>
              <w:t>Telefon 0451-885-220</w:t>
            </w:r>
          </w:p>
          <w:p w:rsidR="00B14183" w:rsidRPr="00156887" w:rsidRDefault="00B14183" w:rsidP="007409BE">
            <w:pPr>
              <w:kinsoku w:val="0"/>
              <w:overflowPunct w:val="0"/>
              <w:spacing w:line="240" w:lineRule="auto"/>
              <w:textAlignment w:val="baseline"/>
              <w:rPr>
                <w:rFonts w:eastAsiaTheme="minorEastAsia" w:cs="Arial"/>
                <w:b/>
                <w:color w:val="000000" w:themeColor="text1"/>
                <w:kern w:val="24"/>
                <w:sz w:val="22"/>
                <w:szCs w:val="22"/>
                <w:lang w:eastAsia="zh-CN"/>
              </w:rPr>
            </w:pPr>
            <w:r w:rsidRPr="00156887">
              <w:rPr>
                <w:rFonts w:eastAsiaTheme="minorEastAsia" w:cs="Arial"/>
                <w:color w:val="000000" w:themeColor="text1"/>
                <w:kern w:val="24"/>
                <w:sz w:val="22"/>
                <w:szCs w:val="22"/>
                <w:lang w:eastAsia="zh-CN"/>
              </w:rPr>
              <w:t xml:space="preserve">E-mail </w:t>
            </w:r>
            <w:hyperlink r:id="rId13" w:history="1">
              <w:r w:rsidRPr="00156887">
                <w:rPr>
                  <w:rStyle w:val="Hyperlink"/>
                  <w:rFonts w:eastAsiaTheme="minorEastAsia" w:cs="Arial"/>
                  <w:kern w:val="24"/>
                  <w:sz w:val="22"/>
                  <w:szCs w:val="22"/>
                  <w:lang w:eastAsia="zh-CN"/>
                </w:rPr>
                <w:t>Axel.Strunk@llur.landsh.de</w:t>
              </w:r>
            </w:hyperlink>
            <w:r w:rsidRPr="00156887">
              <w:rPr>
                <w:rFonts w:eastAsiaTheme="minorEastAsia" w:cs="Arial"/>
                <w:color w:val="000000" w:themeColor="text1"/>
                <w:kern w:val="24"/>
                <w:sz w:val="22"/>
                <w:szCs w:val="22"/>
                <w:lang w:eastAsia="zh-CN"/>
              </w:rPr>
              <w:t xml:space="preserve">   </w:t>
            </w:r>
          </w:p>
        </w:tc>
        <w:tc>
          <w:tcPr>
            <w:tcW w:w="4819" w:type="dxa"/>
            <w:shd w:val="clear" w:color="auto" w:fill="auto"/>
          </w:tcPr>
          <w:p w:rsidR="00B14183" w:rsidRPr="00156887" w:rsidRDefault="00B14183" w:rsidP="00B15947">
            <w:pPr>
              <w:kinsoku w:val="0"/>
              <w:overflowPunct w:val="0"/>
              <w:spacing w:line="240" w:lineRule="auto"/>
              <w:textAlignment w:val="baseline"/>
              <w:rPr>
                <w:rFonts w:cs="Arial"/>
                <w:b/>
                <w:sz w:val="22"/>
                <w:szCs w:val="22"/>
                <w:lang w:eastAsia="zh-CN"/>
              </w:rPr>
            </w:pPr>
            <w:r w:rsidRPr="00156887">
              <w:rPr>
                <w:rFonts w:eastAsiaTheme="minorEastAsia" w:cs="Arial"/>
                <w:b/>
                <w:color w:val="000000" w:themeColor="text1"/>
                <w:kern w:val="24"/>
                <w:sz w:val="22"/>
                <w:szCs w:val="22"/>
                <w:lang w:eastAsia="zh-CN"/>
              </w:rPr>
              <w:br/>
              <w:t xml:space="preserve">Regionaldezernat Südwest </w:t>
            </w:r>
          </w:p>
          <w:p w:rsidR="00B14183" w:rsidRPr="00156887" w:rsidRDefault="00B14183" w:rsidP="00B15947">
            <w:pPr>
              <w:kinsoku w:val="0"/>
              <w:overflowPunct w:val="0"/>
              <w:spacing w:line="240" w:lineRule="auto"/>
              <w:textAlignment w:val="baseline"/>
              <w:rPr>
                <w:rFonts w:cs="Arial"/>
                <w:sz w:val="22"/>
                <w:szCs w:val="22"/>
                <w:lang w:eastAsia="zh-CN"/>
              </w:rPr>
            </w:pPr>
            <w:r w:rsidRPr="00156887">
              <w:rPr>
                <w:rFonts w:eastAsiaTheme="minorEastAsia" w:cs="Arial"/>
                <w:color w:val="000000" w:themeColor="text1"/>
                <w:kern w:val="24"/>
                <w:sz w:val="22"/>
                <w:szCs w:val="22"/>
                <w:lang w:eastAsia="zh-CN"/>
              </w:rPr>
              <w:t>Breitenburger Straße 25, 25524 Itzehoe</w:t>
            </w:r>
            <w:r w:rsidRPr="00156887">
              <w:rPr>
                <w:rFonts w:eastAsiaTheme="minorEastAsia" w:cs="Arial"/>
                <w:color w:val="000000" w:themeColor="text1"/>
                <w:kern w:val="24"/>
                <w:sz w:val="22"/>
                <w:szCs w:val="22"/>
                <w:lang w:eastAsia="zh-CN"/>
              </w:rPr>
              <w:br/>
              <w:t>Verena Boehnke</w:t>
            </w:r>
          </w:p>
          <w:p w:rsidR="00B14183" w:rsidRPr="00156887" w:rsidRDefault="00B14183" w:rsidP="00B15947">
            <w:pPr>
              <w:kinsoku w:val="0"/>
              <w:overflowPunct w:val="0"/>
              <w:spacing w:line="240" w:lineRule="auto"/>
              <w:textAlignment w:val="baseline"/>
              <w:rPr>
                <w:rFonts w:cs="Arial"/>
                <w:sz w:val="22"/>
                <w:szCs w:val="22"/>
                <w:lang w:eastAsia="zh-CN"/>
              </w:rPr>
            </w:pPr>
            <w:r w:rsidRPr="00156887">
              <w:rPr>
                <w:rFonts w:eastAsiaTheme="minorEastAsia" w:cs="Arial"/>
                <w:color w:val="000000" w:themeColor="text1"/>
                <w:kern w:val="24"/>
                <w:sz w:val="22"/>
                <w:szCs w:val="22"/>
                <w:lang w:eastAsia="zh-CN"/>
              </w:rPr>
              <w:t>Telefon 04821-66-2200</w:t>
            </w:r>
          </w:p>
          <w:p w:rsidR="00B14183" w:rsidRPr="00156887" w:rsidRDefault="00B14183" w:rsidP="00B15947">
            <w:pPr>
              <w:rPr>
                <w:rFonts w:eastAsiaTheme="minorEastAsia" w:cs="Arial"/>
                <w:b/>
                <w:color w:val="000000" w:themeColor="text1"/>
                <w:kern w:val="24"/>
                <w:sz w:val="22"/>
                <w:szCs w:val="22"/>
                <w:lang w:eastAsia="zh-CN"/>
              </w:rPr>
            </w:pPr>
            <w:r w:rsidRPr="00156887">
              <w:rPr>
                <w:rFonts w:eastAsiaTheme="minorEastAsia" w:cs="Arial"/>
                <w:color w:val="000000" w:themeColor="text1"/>
                <w:kern w:val="24"/>
                <w:sz w:val="22"/>
                <w:szCs w:val="22"/>
                <w:lang w:eastAsia="zh-CN"/>
              </w:rPr>
              <w:t xml:space="preserve">E-mail </w:t>
            </w:r>
            <w:hyperlink r:id="rId14" w:history="1">
              <w:r w:rsidRPr="00156887">
                <w:rPr>
                  <w:rStyle w:val="Hyperlink"/>
                  <w:rFonts w:eastAsiaTheme="minorEastAsia" w:cs="Arial"/>
                  <w:kern w:val="24"/>
                  <w:sz w:val="22"/>
                  <w:szCs w:val="22"/>
                  <w:lang w:eastAsia="zh-CN"/>
                </w:rPr>
                <w:t>Verena.Boehnke@llur.landsh.de</w:t>
              </w:r>
            </w:hyperlink>
          </w:p>
        </w:tc>
      </w:tr>
    </w:tbl>
    <w:p w:rsidR="00B14183" w:rsidRPr="00156887" w:rsidRDefault="006042EB" w:rsidP="006042EB">
      <w:pPr>
        <w:kinsoku w:val="0"/>
        <w:overflowPunct w:val="0"/>
        <w:spacing w:line="240" w:lineRule="auto"/>
        <w:textAlignment w:val="baseline"/>
        <w:rPr>
          <w:rFonts w:cs="Arial"/>
          <w:sz w:val="22"/>
          <w:szCs w:val="22"/>
        </w:rPr>
      </w:pPr>
      <w:r>
        <w:rPr>
          <w:rFonts w:eastAsiaTheme="minorEastAsia" w:cs="Arial"/>
          <w:color w:val="000000" w:themeColor="text1"/>
          <w:kern w:val="24"/>
          <w:sz w:val="22"/>
          <w:szCs w:val="22"/>
          <w:lang w:eastAsia="zh-CN"/>
        </w:rPr>
        <w:br/>
      </w:r>
      <w:r w:rsidR="004E6718">
        <w:rPr>
          <w:rFonts w:cs="Arial"/>
          <w:sz w:val="22"/>
          <w:szCs w:val="22"/>
        </w:rPr>
        <w:br/>
      </w:r>
      <w:r w:rsidR="00E26331">
        <w:rPr>
          <w:rFonts w:cs="Arial"/>
          <w:sz w:val="22"/>
          <w:szCs w:val="22"/>
        </w:rPr>
        <w:t>A</w:t>
      </w:r>
      <w:r w:rsidR="00B6511C">
        <w:rPr>
          <w:rFonts w:cs="Arial"/>
          <w:sz w:val="22"/>
          <w:szCs w:val="22"/>
        </w:rPr>
        <w:t xml:space="preserve">nsprechpartnerin im </w:t>
      </w:r>
      <w:r w:rsidR="00B14183" w:rsidRPr="00156887">
        <w:rPr>
          <w:rFonts w:cs="Arial"/>
          <w:sz w:val="22"/>
          <w:szCs w:val="22"/>
        </w:rPr>
        <w:t xml:space="preserve">Ministerium für </w:t>
      </w:r>
      <w:r w:rsidR="008F2886">
        <w:rPr>
          <w:rFonts w:cs="Arial"/>
          <w:sz w:val="22"/>
          <w:szCs w:val="22"/>
        </w:rPr>
        <w:t xml:space="preserve">Inneres, ländliche Räume und Integration </w:t>
      </w:r>
      <w:r w:rsidR="00963C62">
        <w:rPr>
          <w:rFonts w:cs="Arial"/>
          <w:sz w:val="22"/>
          <w:szCs w:val="22"/>
        </w:rPr>
        <w:br/>
      </w:r>
      <w:r w:rsidR="008F2886">
        <w:rPr>
          <w:rFonts w:cs="Arial"/>
          <w:sz w:val="22"/>
          <w:szCs w:val="22"/>
        </w:rPr>
        <w:t>des Landes Schleswig-Holstein</w:t>
      </w:r>
      <w:r w:rsidR="007409BE">
        <w:rPr>
          <w:rFonts w:cs="Arial"/>
          <w:sz w:val="22"/>
          <w:szCs w:val="22"/>
        </w:rPr>
        <w:t>:</w:t>
      </w:r>
      <w:r w:rsidR="00B14183" w:rsidRPr="00156887">
        <w:rPr>
          <w:rFonts w:cs="Arial"/>
          <w:sz w:val="22"/>
          <w:szCs w:val="22"/>
        </w:rPr>
        <w:br/>
        <w:t>Christina Pfeiffer</w:t>
      </w:r>
      <w:r w:rsidR="00B14183" w:rsidRPr="00156887">
        <w:rPr>
          <w:rFonts w:cs="Arial"/>
          <w:sz w:val="22"/>
          <w:szCs w:val="22"/>
        </w:rPr>
        <w:br/>
        <w:t>Telefon 0431-988 5078</w:t>
      </w:r>
      <w:r w:rsidR="00B14183" w:rsidRPr="00156887">
        <w:rPr>
          <w:rFonts w:cs="Arial"/>
          <w:sz w:val="22"/>
          <w:szCs w:val="22"/>
        </w:rPr>
        <w:br/>
        <w:t xml:space="preserve">E-Mail </w:t>
      </w:r>
      <w:hyperlink r:id="rId15" w:history="1">
        <w:r w:rsidR="00D90341" w:rsidRPr="0004303C">
          <w:rPr>
            <w:rStyle w:val="Hyperlink"/>
            <w:rFonts w:cs="Arial"/>
            <w:sz w:val="22"/>
            <w:szCs w:val="22"/>
          </w:rPr>
          <w:t>christina.pfeiffer@im.landsh.de</w:t>
        </w:r>
      </w:hyperlink>
    </w:p>
    <w:p w:rsidR="00156887" w:rsidRDefault="00156887" w:rsidP="001629F6">
      <w:pPr>
        <w:tabs>
          <w:tab w:val="left" w:pos="426"/>
        </w:tabs>
        <w:autoSpaceDE w:val="0"/>
        <w:autoSpaceDN w:val="0"/>
        <w:adjustRightInd w:val="0"/>
        <w:spacing w:before="60" w:after="120" w:line="240" w:lineRule="auto"/>
        <w:ind w:right="-142"/>
        <w:rPr>
          <w:rFonts w:cs="Arial"/>
          <w:b/>
          <w:color w:val="1D1D1B"/>
          <w:sz w:val="22"/>
          <w:szCs w:val="22"/>
          <w:u w:val="single"/>
        </w:rPr>
      </w:pPr>
    </w:p>
    <w:p w:rsidR="009D68C9" w:rsidRPr="009D68C9" w:rsidRDefault="009D68C9" w:rsidP="009D68C9">
      <w:pPr>
        <w:kinsoku w:val="0"/>
        <w:overflowPunct w:val="0"/>
        <w:spacing w:line="240" w:lineRule="auto"/>
        <w:textAlignment w:val="baseline"/>
        <w:rPr>
          <w:rFonts w:cs="Arial"/>
          <w:color w:val="333333"/>
          <w:sz w:val="22"/>
          <w:szCs w:val="22"/>
          <w:lang w:eastAsia="zh-CN"/>
        </w:rPr>
      </w:pPr>
      <w:r w:rsidRPr="009D68C9">
        <w:rPr>
          <w:rFonts w:cs="Arial"/>
          <w:b/>
          <w:color w:val="333333"/>
          <w:sz w:val="22"/>
          <w:szCs w:val="22"/>
          <w:lang w:eastAsia="zh-CN"/>
        </w:rPr>
        <w:t xml:space="preserve">Informationen zu Förderbedingungen, </w:t>
      </w:r>
      <w:r w:rsidR="00143144">
        <w:rPr>
          <w:rFonts w:cs="Arial"/>
          <w:b/>
          <w:color w:val="333333"/>
          <w:sz w:val="22"/>
          <w:szCs w:val="22"/>
          <w:lang w:eastAsia="zh-CN"/>
        </w:rPr>
        <w:t>A</w:t>
      </w:r>
      <w:r w:rsidRPr="009D68C9">
        <w:rPr>
          <w:rFonts w:cs="Arial"/>
          <w:b/>
          <w:color w:val="333333"/>
          <w:sz w:val="22"/>
          <w:szCs w:val="22"/>
          <w:lang w:eastAsia="zh-CN"/>
        </w:rPr>
        <w:t xml:space="preserve">uswahlkriterien und Budgets der ILE-Verfahren und Ergebnisse der bisherigen Auswahlverfahren sind auf der Internetseite des Landes SH unter dem </w:t>
      </w:r>
      <w:r w:rsidRPr="003278A6">
        <w:rPr>
          <w:rFonts w:cs="Arial"/>
          <w:b/>
          <w:color w:val="333333"/>
          <w:sz w:val="22"/>
          <w:szCs w:val="22"/>
          <w:u w:val="single"/>
          <w:lang w:eastAsia="zh-CN"/>
        </w:rPr>
        <w:t>Stichwort „Leitprojekte Integrierte ländliche Entwicklung“</w:t>
      </w:r>
      <w:r w:rsidRPr="009D68C9">
        <w:rPr>
          <w:rFonts w:cs="Arial"/>
          <w:b/>
          <w:color w:val="333333"/>
          <w:sz w:val="22"/>
          <w:szCs w:val="22"/>
          <w:lang w:eastAsia="zh-CN"/>
        </w:rPr>
        <w:t xml:space="preserve"> veröffentlicht</w:t>
      </w:r>
      <w:r w:rsidRPr="009D68C9">
        <w:rPr>
          <w:rFonts w:cs="Arial"/>
          <w:color w:val="333333"/>
          <w:sz w:val="22"/>
          <w:szCs w:val="22"/>
          <w:lang w:eastAsia="zh-CN"/>
        </w:rPr>
        <w:t>:</w:t>
      </w:r>
    </w:p>
    <w:p w:rsidR="0037370A" w:rsidRPr="009D68C9" w:rsidRDefault="009D68C9" w:rsidP="009D68C9">
      <w:pPr>
        <w:kinsoku w:val="0"/>
        <w:overflowPunct w:val="0"/>
        <w:spacing w:line="240" w:lineRule="auto"/>
        <w:textAlignment w:val="baseline"/>
        <w:rPr>
          <w:rFonts w:cs="Arial"/>
          <w:color w:val="FF0000"/>
          <w:sz w:val="22"/>
          <w:szCs w:val="22"/>
          <w:lang w:eastAsia="zh-CN"/>
        </w:rPr>
      </w:pPr>
      <w:r w:rsidRPr="009D68C9">
        <w:rPr>
          <w:rFonts w:cs="Arial"/>
          <w:color w:val="FF0000"/>
          <w:sz w:val="22"/>
          <w:szCs w:val="22"/>
          <w:lang w:eastAsia="zh-CN"/>
        </w:rPr>
        <w:t>http://www.schleswig-holstein.de/DE/Fachinhalte/L/laendlicheraeume/leitprojekteILE.html</w:t>
      </w:r>
    </w:p>
    <w:p w:rsidR="00891291" w:rsidRPr="006042EB" w:rsidRDefault="00222135" w:rsidP="006042EB">
      <w:pPr>
        <w:kinsoku w:val="0"/>
        <w:overflowPunct w:val="0"/>
        <w:spacing w:line="240" w:lineRule="auto"/>
        <w:textAlignment w:val="baseline"/>
        <w:rPr>
          <w:rFonts w:cs="Arial"/>
          <w:color w:val="333333"/>
          <w:sz w:val="22"/>
          <w:szCs w:val="22"/>
          <w:lang w:eastAsia="zh-CN"/>
        </w:rPr>
      </w:pPr>
      <w:r>
        <w:rPr>
          <w:rFonts w:cs="Arial"/>
          <w:color w:val="333333"/>
          <w:sz w:val="22"/>
          <w:szCs w:val="22"/>
          <w:lang w:eastAsia="zh-CN"/>
        </w:rPr>
        <w:br/>
      </w:r>
      <w:r w:rsidR="000E3CF1" w:rsidRPr="00EF5C02">
        <w:rPr>
          <w:rFonts w:cs="Arial"/>
          <w:color w:val="333333"/>
          <w:sz w:val="22"/>
          <w:szCs w:val="22"/>
          <w:lang w:eastAsia="zh-CN"/>
        </w:rPr>
        <w:t xml:space="preserve">Weitere Informationen zum Landesprogramm Ländlicher Raum (LPLR) und zum Förderwegweiser finden </w:t>
      </w:r>
      <w:r w:rsidR="000E3CF1" w:rsidRPr="0037370A">
        <w:rPr>
          <w:rFonts w:cs="Arial"/>
          <w:sz w:val="22"/>
          <w:szCs w:val="22"/>
          <w:lang w:eastAsia="zh-CN"/>
        </w:rPr>
        <w:t xml:space="preserve">Sie </w:t>
      </w:r>
      <w:hyperlink r:id="rId16" w:history="1">
        <w:r w:rsidR="00795795" w:rsidRPr="0037370A">
          <w:rPr>
            <w:rStyle w:val="Hyperlink"/>
            <w:rFonts w:cs="Arial"/>
            <w:color w:val="auto"/>
            <w:sz w:val="22"/>
            <w:szCs w:val="22"/>
            <w:u w:val="none"/>
            <w:lang w:eastAsia="zh-CN"/>
          </w:rPr>
          <w:t>auf</w:t>
        </w:r>
      </w:hyperlink>
      <w:r w:rsidR="00795795" w:rsidRPr="0037370A">
        <w:rPr>
          <w:rFonts w:cs="Arial"/>
          <w:sz w:val="22"/>
          <w:szCs w:val="22"/>
          <w:lang w:eastAsia="zh-CN"/>
        </w:rPr>
        <w:t xml:space="preserve"> der Internetseite des Landes </w:t>
      </w:r>
      <w:r w:rsidR="0037370A">
        <w:rPr>
          <w:rFonts w:cs="Arial"/>
          <w:sz w:val="22"/>
          <w:szCs w:val="22"/>
          <w:lang w:eastAsia="zh-CN"/>
        </w:rPr>
        <w:t>unter</w:t>
      </w:r>
      <w:r w:rsidR="006042EB">
        <w:rPr>
          <w:rFonts w:cs="Arial"/>
          <w:sz w:val="22"/>
          <w:szCs w:val="22"/>
          <w:lang w:eastAsia="zh-CN"/>
        </w:rPr>
        <w:t xml:space="preserve"> </w:t>
      </w:r>
      <w:r w:rsidR="009D68C9">
        <w:rPr>
          <w:rFonts w:cs="Arial"/>
          <w:sz w:val="22"/>
          <w:szCs w:val="22"/>
          <w:lang w:eastAsia="zh-CN"/>
        </w:rPr>
        <w:br/>
      </w:r>
      <w:r w:rsidR="00795795">
        <w:rPr>
          <w:rFonts w:cs="Arial"/>
          <w:color w:val="0000FF"/>
          <w:sz w:val="22"/>
          <w:szCs w:val="22"/>
          <w:u w:val="single"/>
          <w:lang w:eastAsia="zh-CN"/>
        </w:rPr>
        <w:t>www.eler.schleswig-</w:t>
      </w:r>
      <w:r w:rsidR="00143144">
        <w:rPr>
          <w:rFonts w:cs="Arial"/>
          <w:color w:val="0000FF"/>
          <w:sz w:val="22"/>
          <w:szCs w:val="22"/>
          <w:u w:val="single"/>
          <w:lang w:eastAsia="zh-CN"/>
        </w:rPr>
        <w:t>h</w:t>
      </w:r>
      <w:r w:rsidR="00795795">
        <w:rPr>
          <w:rFonts w:cs="Arial"/>
          <w:color w:val="0000FF"/>
          <w:sz w:val="22"/>
          <w:szCs w:val="22"/>
          <w:u w:val="single"/>
          <w:lang w:eastAsia="zh-CN"/>
        </w:rPr>
        <w:t>olstein.de</w:t>
      </w:r>
    </w:p>
    <w:sectPr w:rsidR="00891291" w:rsidRPr="006042EB" w:rsidSect="004E6718">
      <w:headerReference w:type="even" r:id="rId17"/>
      <w:headerReference w:type="default" r:id="rId18"/>
      <w:footerReference w:type="even" r:id="rId19"/>
      <w:footerReference w:type="default" r:id="rId20"/>
      <w:headerReference w:type="first" r:id="rId21"/>
      <w:footerReference w:type="first" r:id="rId2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D67" w:rsidRDefault="00365D67" w:rsidP="00CF243D">
      <w:pPr>
        <w:spacing w:line="240" w:lineRule="auto"/>
      </w:pPr>
      <w:r>
        <w:separator/>
      </w:r>
    </w:p>
  </w:endnote>
  <w:endnote w:type="continuationSeparator" w:id="0">
    <w:p w:rsidR="00365D67" w:rsidRDefault="00365D67" w:rsidP="00CF2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86" w:rsidRDefault="00A053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20768756"/>
      <w:docPartObj>
        <w:docPartGallery w:val="Page Numbers (Bottom of Page)"/>
        <w:docPartUnique/>
      </w:docPartObj>
    </w:sdtPr>
    <w:sdtEndPr/>
    <w:sdtContent>
      <w:p w:rsidR="008F5908" w:rsidRDefault="008F5908" w:rsidP="008F5908">
        <w:pPr>
          <w:pStyle w:val="Fuzeile"/>
          <w:pBdr>
            <w:top w:val="single" w:sz="4" w:space="1" w:color="auto"/>
          </w:pBdr>
        </w:pPr>
        <w:r>
          <w:rPr>
            <w:sz w:val="16"/>
            <w:szCs w:val="16"/>
          </w:rPr>
          <w:t>MILI</w:t>
        </w:r>
        <w:r w:rsidRPr="00FB2A9E">
          <w:rPr>
            <w:sz w:val="16"/>
            <w:szCs w:val="16"/>
          </w:rPr>
          <w:t xml:space="preserve"> / Stand </w:t>
        </w:r>
        <w:r w:rsidR="00A05386">
          <w:rPr>
            <w:sz w:val="16"/>
            <w:szCs w:val="16"/>
          </w:rPr>
          <w:t>10</w:t>
        </w:r>
        <w:bookmarkStart w:id="0" w:name="_GoBack"/>
        <w:bookmarkEnd w:id="0"/>
        <w:r>
          <w:rPr>
            <w:sz w:val="16"/>
            <w:szCs w:val="16"/>
          </w:rPr>
          <w:t>.1</w:t>
        </w:r>
        <w:r w:rsidR="00A05386">
          <w:rPr>
            <w:sz w:val="16"/>
            <w:szCs w:val="16"/>
          </w:rPr>
          <w:t>2</w:t>
        </w:r>
        <w:r>
          <w:rPr>
            <w:sz w:val="16"/>
            <w:szCs w:val="16"/>
          </w:rPr>
          <w:t>.19</w:t>
        </w:r>
      </w:p>
      <w:p w:rsidR="00CF243D" w:rsidRPr="00FB2A9E" w:rsidRDefault="00CF243D" w:rsidP="00A51B5E">
        <w:pPr>
          <w:pStyle w:val="Fuzeile"/>
          <w:pBdr>
            <w:top w:val="single" w:sz="4" w:space="1" w:color="auto"/>
          </w:pBdr>
          <w:rPr>
            <w:sz w:val="16"/>
            <w:szCs w:val="16"/>
          </w:rPr>
        </w:pPr>
        <w:r w:rsidRPr="00FB2A9E">
          <w:rPr>
            <w:sz w:val="16"/>
            <w:szCs w:val="16"/>
          </w:rPr>
          <w:tab/>
        </w:r>
        <w:r w:rsidRPr="00FB2A9E">
          <w:rPr>
            <w:sz w:val="16"/>
            <w:szCs w:val="16"/>
          </w:rPr>
          <w:tab/>
        </w:r>
        <w:r w:rsidRPr="00FB2A9E">
          <w:rPr>
            <w:sz w:val="16"/>
            <w:szCs w:val="16"/>
          </w:rPr>
          <w:fldChar w:fldCharType="begin"/>
        </w:r>
        <w:r w:rsidRPr="00FB2A9E">
          <w:rPr>
            <w:sz w:val="16"/>
            <w:szCs w:val="16"/>
          </w:rPr>
          <w:instrText>PAGE   \* MERGEFORMAT</w:instrText>
        </w:r>
        <w:r w:rsidRPr="00FB2A9E">
          <w:rPr>
            <w:sz w:val="16"/>
            <w:szCs w:val="16"/>
          </w:rPr>
          <w:fldChar w:fldCharType="separate"/>
        </w:r>
        <w:r w:rsidR="00A05386">
          <w:rPr>
            <w:noProof/>
            <w:sz w:val="16"/>
            <w:szCs w:val="16"/>
          </w:rPr>
          <w:t>2</w:t>
        </w:r>
        <w:r w:rsidRPr="00FB2A9E">
          <w:rPr>
            <w:sz w:val="16"/>
            <w:szCs w:val="16"/>
          </w:rPr>
          <w:fldChar w:fldCharType="end"/>
        </w:r>
      </w:p>
    </w:sdtContent>
  </w:sdt>
  <w:p w:rsidR="00CF243D" w:rsidRPr="00FB2A9E" w:rsidRDefault="00CF243D" w:rsidP="00FB2A9E">
    <w:pPr>
      <w:pStyle w:val="Fuzeile"/>
      <w:pBdr>
        <w:top w:val="single" w:sz="4" w:space="1" w:color="auto"/>
      </w:pBd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6BF" w:rsidRDefault="008F2886" w:rsidP="001766BF">
    <w:pPr>
      <w:pStyle w:val="Fuzeile"/>
      <w:pBdr>
        <w:top w:val="single" w:sz="4" w:space="1" w:color="auto"/>
      </w:pBdr>
    </w:pPr>
    <w:r>
      <w:rPr>
        <w:sz w:val="16"/>
        <w:szCs w:val="16"/>
      </w:rPr>
      <w:t>MILI</w:t>
    </w:r>
    <w:r w:rsidR="001766BF" w:rsidRPr="00FB2A9E">
      <w:rPr>
        <w:sz w:val="16"/>
        <w:szCs w:val="16"/>
      </w:rPr>
      <w:t xml:space="preserve"> / Stand </w:t>
    </w:r>
    <w:r w:rsidR="005D05FD">
      <w:rPr>
        <w:sz w:val="16"/>
        <w:szCs w:val="16"/>
      </w:rPr>
      <w:t>10</w:t>
    </w:r>
    <w:r w:rsidR="00536076">
      <w:rPr>
        <w:sz w:val="16"/>
        <w:szCs w:val="16"/>
      </w:rPr>
      <w:t>.</w:t>
    </w:r>
    <w:r w:rsidR="009335BD">
      <w:rPr>
        <w:sz w:val="16"/>
        <w:szCs w:val="16"/>
      </w:rPr>
      <w:t>1</w:t>
    </w:r>
    <w:r w:rsidR="005D05FD">
      <w:rPr>
        <w:sz w:val="16"/>
        <w:szCs w:val="16"/>
      </w:rPr>
      <w:t>2</w:t>
    </w:r>
    <w:r w:rsidR="00D60C40">
      <w:rPr>
        <w:sz w:val="16"/>
        <w:szCs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D67" w:rsidRDefault="00365D67" w:rsidP="00CF243D">
      <w:pPr>
        <w:spacing w:line="240" w:lineRule="auto"/>
      </w:pPr>
      <w:r>
        <w:separator/>
      </w:r>
    </w:p>
  </w:footnote>
  <w:footnote w:type="continuationSeparator" w:id="0">
    <w:p w:rsidR="00365D67" w:rsidRDefault="00365D67" w:rsidP="00CF24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86" w:rsidRDefault="00A053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386" w:rsidRDefault="00A0538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6BF" w:rsidRDefault="004E6718">
    <w:pPr>
      <w:pStyle w:val="Kopfzeile"/>
    </w:pPr>
    <w:r>
      <w:rPr>
        <w:noProof/>
      </w:rPr>
      <w:drawing>
        <wp:anchor distT="0" distB="0" distL="114300" distR="114300" simplePos="0" relativeHeight="251661312" behindDoc="1" locked="0" layoutInCell="1" allowOverlap="1" wp14:anchorId="657D660F" wp14:editId="16C12D5C">
          <wp:simplePos x="0" y="0"/>
          <wp:positionH relativeFrom="page">
            <wp:posOffset>145415</wp:posOffset>
          </wp:positionH>
          <wp:positionV relativeFrom="page">
            <wp:posOffset>180975</wp:posOffset>
          </wp:positionV>
          <wp:extent cx="1967230" cy="981710"/>
          <wp:effectExtent l="0" t="0" r="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ate Daten:Arbeitsordner:2014-10-12:Boy:Claim_D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981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4B15">
      <w:rPr>
        <w:noProof/>
      </w:rPr>
      <w:drawing>
        <wp:anchor distT="0" distB="0" distL="114300" distR="114300" simplePos="0" relativeHeight="251662336" behindDoc="0" locked="0" layoutInCell="1" allowOverlap="1" wp14:anchorId="0BF5E915" wp14:editId="73FB891E">
          <wp:simplePos x="0" y="0"/>
          <wp:positionH relativeFrom="margin">
            <wp:posOffset>4129405</wp:posOffset>
          </wp:positionH>
          <wp:positionV relativeFrom="margin">
            <wp:posOffset>-295910</wp:posOffset>
          </wp:positionV>
          <wp:extent cx="1551305" cy="833755"/>
          <wp:effectExtent l="0" t="0" r="0" b="4445"/>
          <wp:wrapSquare wrapText="bothSides"/>
          <wp:docPr id="4" name="Grafik 4" descr="C:\Users\Christina.Pfeiffer\AppData\Local\Microsoft\Windows\Temporary Internet Files\Content.Word\sh_de_inneres_rgb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Pfeiffer\AppData\Local\Microsoft\Windows\Temporary Internet Files\Content.Word\sh_de_inneres_rgb_gros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1305" cy="8337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93A"/>
    <w:multiLevelType w:val="hybridMultilevel"/>
    <w:tmpl w:val="282EE3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2B74AE"/>
    <w:multiLevelType w:val="hybridMultilevel"/>
    <w:tmpl w:val="D42C506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CB5403"/>
    <w:multiLevelType w:val="hybridMultilevel"/>
    <w:tmpl w:val="5AE6AD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0809A3"/>
    <w:multiLevelType w:val="hybridMultilevel"/>
    <w:tmpl w:val="E26010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5651E8C"/>
    <w:multiLevelType w:val="hybridMultilevel"/>
    <w:tmpl w:val="2DBA9C6A"/>
    <w:lvl w:ilvl="0" w:tplc="FFFFFFFF">
      <w:start w:val="1"/>
      <w:numFmt w:val="bullet"/>
      <w:lvlText w:val=""/>
      <w:lvlJc w:val="left"/>
      <w:pPr>
        <w:ind w:left="720" w:hanging="360"/>
      </w:pPr>
      <w:rPr>
        <w:rFonts w:ascii="Symbol" w:hAnsi="Symbol"/>
      </w:rPr>
    </w:lvl>
    <w:lvl w:ilvl="1" w:tplc="05665652">
      <w:start w:val="1"/>
      <w:numFmt w:val="bullet"/>
      <w:lvlText w:val=""/>
      <w:lvlJc w:val="left"/>
      <w:pPr>
        <w:ind w:left="1440" w:hanging="360"/>
      </w:pPr>
      <w:rPr>
        <w:rFonts w:ascii="Symbol" w:hAnsi="Symbol" w:hint="default"/>
      </w:rPr>
    </w:lvl>
    <w:lvl w:ilvl="2" w:tplc="05665652">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3E8703AD"/>
    <w:multiLevelType w:val="hybridMultilevel"/>
    <w:tmpl w:val="9F843B1E"/>
    <w:lvl w:ilvl="0" w:tplc="4576339E">
      <w:start w:val="5"/>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08626FF"/>
    <w:multiLevelType w:val="hybridMultilevel"/>
    <w:tmpl w:val="E86654C8"/>
    <w:lvl w:ilvl="0" w:tplc="05665652">
      <w:start w:val="1"/>
      <w:numFmt w:val="bullet"/>
      <w:lvlText w:val=""/>
      <w:lvlJc w:val="left"/>
      <w:pPr>
        <w:ind w:left="2203" w:hanging="360"/>
      </w:pPr>
      <w:rPr>
        <w:rFonts w:ascii="Symbol" w:hAnsi="Symbol" w:hint="default"/>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abstractNum w:abstractNumId="7" w15:restartNumberingAfterBreak="0">
    <w:nsid w:val="52D8608B"/>
    <w:multiLevelType w:val="hybridMultilevel"/>
    <w:tmpl w:val="BCDA9FC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DD15D82"/>
    <w:multiLevelType w:val="hybridMultilevel"/>
    <w:tmpl w:val="620820B8"/>
    <w:lvl w:ilvl="0" w:tplc="F524F2E8">
      <w:start w:val="1"/>
      <w:numFmt w:val="decimal"/>
      <w:lvlText w:val="%1."/>
      <w:lvlJc w:val="left"/>
      <w:pPr>
        <w:ind w:left="786" w:hanging="360"/>
      </w:pPr>
      <w:rPr>
        <w:rFonts w:eastAsia="Times New Roman" w:hint="default"/>
        <w:color w:val="auto"/>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 w15:restartNumberingAfterBreak="0">
    <w:nsid w:val="77665401"/>
    <w:multiLevelType w:val="hybridMultilevel"/>
    <w:tmpl w:val="6A0CD8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8"/>
  </w:num>
  <w:num w:numId="6">
    <w:abstractNumId w:val="1"/>
  </w:num>
  <w:num w:numId="7">
    <w:abstractNumId w:val="9"/>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83"/>
    <w:rsid w:val="000126F4"/>
    <w:rsid w:val="00033076"/>
    <w:rsid w:val="00083B72"/>
    <w:rsid w:val="000A6FE1"/>
    <w:rsid w:val="000D0026"/>
    <w:rsid w:val="000E3CF1"/>
    <w:rsid w:val="00143144"/>
    <w:rsid w:val="00156887"/>
    <w:rsid w:val="001629F6"/>
    <w:rsid w:val="001766BF"/>
    <w:rsid w:val="001A2425"/>
    <w:rsid w:val="00222135"/>
    <w:rsid w:val="00235F29"/>
    <w:rsid w:val="002463BA"/>
    <w:rsid w:val="00266982"/>
    <w:rsid w:val="002D0569"/>
    <w:rsid w:val="003246F3"/>
    <w:rsid w:val="003278A6"/>
    <w:rsid w:val="00333B43"/>
    <w:rsid w:val="00345EE0"/>
    <w:rsid w:val="00365D67"/>
    <w:rsid w:val="0037370A"/>
    <w:rsid w:val="00374638"/>
    <w:rsid w:val="003A2B10"/>
    <w:rsid w:val="003E7551"/>
    <w:rsid w:val="003F02AA"/>
    <w:rsid w:val="004B1729"/>
    <w:rsid w:val="004E4606"/>
    <w:rsid w:val="004E6718"/>
    <w:rsid w:val="00501368"/>
    <w:rsid w:val="00515B03"/>
    <w:rsid w:val="00536076"/>
    <w:rsid w:val="005752ED"/>
    <w:rsid w:val="0058241D"/>
    <w:rsid w:val="00593CAC"/>
    <w:rsid w:val="00595E69"/>
    <w:rsid w:val="005D05FD"/>
    <w:rsid w:val="005D4C52"/>
    <w:rsid w:val="006042EB"/>
    <w:rsid w:val="0062257D"/>
    <w:rsid w:val="0064475B"/>
    <w:rsid w:val="006748D7"/>
    <w:rsid w:val="0068085C"/>
    <w:rsid w:val="00715C6F"/>
    <w:rsid w:val="007409BE"/>
    <w:rsid w:val="00752FD2"/>
    <w:rsid w:val="00760439"/>
    <w:rsid w:val="00795795"/>
    <w:rsid w:val="007A3D04"/>
    <w:rsid w:val="007A4974"/>
    <w:rsid w:val="007B0508"/>
    <w:rsid w:val="007E3B8D"/>
    <w:rsid w:val="00804636"/>
    <w:rsid w:val="00811495"/>
    <w:rsid w:val="00850018"/>
    <w:rsid w:val="0086540B"/>
    <w:rsid w:val="00866CB9"/>
    <w:rsid w:val="00873362"/>
    <w:rsid w:val="00891291"/>
    <w:rsid w:val="008E7D2E"/>
    <w:rsid w:val="008F2886"/>
    <w:rsid w:val="008F5908"/>
    <w:rsid w:val="0092192D"/>
    <w:rsid w:val="009335BD"/>
    <w:rsid w:val="00942BE7"/>
    <w:rsid w:val="00963C62"/>
    <w:rsid w:val="009A3305"/>
    <w:rsid w:val="009C3C0C"/>
    <w:rsid w:val="009D68C9"/>
    <w:rsid w:val="009D7B4A"/>
    <w:rsid w:val="009E7E51"/>
    <w:rsid w:val="00A05386"/>
    <w:rsid w:val="00A51B5E"/>
    <w:rsid w:val="00A70D08"/>
    <w:rsid w:val="00A73435"/>
    <w:rsid w:val="00A85E2B"/>
    <w:rsid w:val="00AD42B1"/>
    <w:rsid w:val="00AE3CB1"/>
    <w:rsid w:val="00AF098D"/>
    <w:rsid w:val="00AF2734"/>
    <w:rsid w:val="00B14183"/>
    <w:rsid w:val="00B20939"/>
    <w:rsid w:val="00B33FA9"/>
    <w:rsid w:val="00B6511C"/>
    <w:rsid w:val="00BB7D4B"/>
    <w:rsid w:val="00BC2C26"/>
    <w:rsid w:val="00C00438"/>
    <w:rsid w:val="00C025E5"/>
    <w:rsid w:val="00C14710"/>
    <w:rsid w:val="00C45436"/>
    <w:rsid w:val="00CF243D"/>
    <w:rsid w:val="00D24F11"/>
    <w:rsid w:val="00D25FD8"/>
    <w:rsid w:val="00D60C40"/>
    <w:rsid w:val="00D90341"/>
    <w:rsid w:val="00D96714"/>
    <w:rsid w:val="00D973B5"/>
    <w:rsid w:val="00DA1A81"/>
    <w:rsid w:val="00DB113E"/>
    <w:rsid w:val="00DC0CA8"/>
    <w:rsid w:val="00DD4B15"/>
    <w:rsid w:val="00DD51BC"/>
    <w:rsid w:val="00DE449D"/>
    <w:rsid w:val="00E26331"/>
    <w:rsid w:val="00EA1FEB"/>
    <w:rsid w:val="00EC717E"/>
    <w:rsid w:val="00EF72DC"/>
    <w:rsid w:val="00F01C43"/>
    <w:rsid w:val="00F1556D"/>
    <w:rsid w:val="00F22AA0"/>
    <w:rsid w:val="00FB2A9E"/>
    <w:rsid w:val="00FB65E5"/>
    <w:rsid w:val="00FB6FEB"/>
    <w:rsid w:val="00FB7B02"/>
    <w:rsid w:val="00FD17AE"/>
    <w:rsid w:val="00FD57A8"/>
    <w:rsid w:val="00FE7F15"/>
    <w:rsid w:val="00FF04C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D8B2CF"/>
  <w15:docId w15:val="{DB6B7B5D-9003-4B48-A521-B76C17EA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4183"/>
    <w:pPr>
      <w:spacing w:after="0" w:line="36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
    <w:name w:val="Anschrift"/>
    <w:basedOn w:val="Standard"/>
    <w:rsid w:val="00B14183"/>
    <w:pPr>
      <w:spacing w:line="240" w:lineRule="auto"/>
    </w:pPr>
  </w:style>
  <w:style w:type="paragraph" w:styleId="Listenabsatz">
    <w:name w:val="List Paragraph"/>
    <w:basedOn w:val="Standard"/>
    <w:uiPriority w:val="34"/>
    <w:qFormat/>
    <w:rsid w:val="00B14183"/>
    <w:pPr>
      <w:spacing w:line="240" w:lineRule="auto"/>
      <w:ind w:left="720"/>
      <w:contextualSpacing/>
    </w:pPr>
    <w:rPr>
      <w:rFonts w:ascii="Times New Roman" w:hAnsi="Times New Roman"/>
      <w:szCs w:val="24"/>
      <w:lang w:eastAsia="zh-CN"/>
    </w:rPr>
  </w:style>
  <w:style w:type="paragraph" w:styleId="Sprechblasentext">
    <w:name w:val="Balloon Text"/>
    <w:basedOn w:val="Standard"/>
    <w:link w:val="SprechblasentextZchn"/>
    <w:uiPriority w:val="99"/>
    <w:semiHidden/>
    <w:unhideWhenUsed/>
    <w:rsid w:val="00B1418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4183"/>
    <w:rPr>
      <w:rFonts w:ascii="Tahoma" w:eastAsia="Times New Roman" w:hAnsi="Tahoma" w:cs="Tahoma"/>
      <w:sz w:val="16"/>
      <w:szCs w:val="16"/>
      <w:lang w:eastAsia="de-DE"/>
    </w:rPr>
  </w:style>
  <w:style w:type="character" w:styleId="Hyperlink">
    <w:name w:val="Hyperlink"/>
    <w:rsid w:val="00B14183"/>
    <w:rPr>
      <w:rFonts w:ascii="Arial" w:hAnsi="Arial"/>
      <w:color w:val="0000FF"/>
      <w:sz w:val="24"/>
      <w:szCs w:val="24"/>
      <w:u w:val="single"/>
    </w:rPr>
  </w:style>
  <w:style w:type="table" w:styleId="Tabellenraster">
    <w:name w:val="Table Grid"/>
    <w:basedOn w:val="NormaleTabelle"/>
    <w:uiPriority w:val="59"/>
    <w:rsid w:val="00B14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F24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F243D"/>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CF243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F243D"/>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3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xel.Strunk@llur.landsh.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Herbert.Hoehne@llur.landsh.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u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Nils.Klindt@llur.landsh.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ristina.pfeiffer@im.landsh.de" TargetMode="External"/><Relationship Id="rId23" Type="http://schemas.openxmlformats.org/officeDocument/2006/relationships/fontTable" Target="fontTable.xml"/><Relationship Id="rId10" Type="http://schemas.openxmlformats.org/officeDocument/2006/relationships/hyperlink" Target="mailto:Norbert.Limberg@llur.landsh.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LexUriServ/LexUriServ.do?uri=OJ:L:2013:347:0487:0548:DE:PDF" TargetMode="External"/><Relationship Id="rId14" Type="http://schemas.openxmlformats.org/officeDocument/2006/relationships/hyperlink" Target="mailto:Verena.Boehnke@llur.landsh.d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16C2-0B85-45E4-AA0E-AEB755B6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8405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Pfeiffer, Christina (MLUR)</dc:creator>
  <cp:lastModifiedBy>Pfeiffer, Christina (Innenministerium)</cp:lastModifiedBy>
  <cp:revision>9</cp:revision>
  <cp:lastPrinted>2017-07-26T09:14:00Z</cp:lastPrinted>
  <dcterms:created xsi:type="dcterms:W3CDTF">2019-04-15T14:19:00Z</dcterms:created>
  <dcterms:modified xsi:type="dcterms:W3CDTF">2019-12-10T12:55:00Z</dcterms:modified>
</cp:coreProperties>
</file>