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5416B74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</w:t>
            </w:r>
            <w:r w:rsidRPr="00FF2095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 xml:space="preserve">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DA7F9F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65C2057C" w:rsidR="003F22A8" w:rsidRDefault="00022C52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lang w:eastAsia="de-DE"/>
              </w:rPr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4FD2BDCF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(s.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E01382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62C87DD9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E01382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4090CAE5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E01382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532C45D1" w14:textId="0DC47D99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E01382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46131838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E01382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6594FAAD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E01382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5F595491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022C52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0681F364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</w:t>
            </w:r>
            <w:r w:rsidR="00FF2095">
              <w:rPr>
                <w:rFonts w:cs="Arial"/>
                <w:b/>
                <w:bCs/>
                <w:color w:val="000000"/>
              </w:rPr>
              <w:t>-</w:t>
            </w:r>
            <w:r w:rsidRPr="00C76559">
              <w:rPr>
                <w:rFonts w:cs="Arial"/>
                <w:b/>
                <w:bCs/>
                <w:color w:val="000000"/>
              </w:rPr>
              <w:t>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6A0D69B8" w14:textId="77777777" w:rsidR="00FF2095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</w:t>
            </w:r>
          </w:p>
          <w:p w14:paraId="46B1E9CA" w14:textId="4262F994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engagements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25A7AC56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DA7F9F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(Projekt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21B3C340" w14:textId="7B598257" w:rsidR="003F22A8" w:rsidRPr="00E10A8B" w:rsidRDefault="003F22A8" w:rsidP="00E10A8B">
      <w:pPr>
        <w:spacing w:line="240" w:lineRule="auto"/>
      </w:pPr>
      <w:r>
        <w:br w:type="page"/>
      </w:r>
      <w:bookmarkStart w:id="1" w:name="_Hlk121154891"/>
    </w:p>
    <w:bookmarkEnd w:id="1"/>
    <w:p w14:paraId="2408DA2B" w14:textId="77777777" w:rsidR="003F22A8" w:rsidRDefault="003F22A8" w:rsidP="003F22A8">
      <w:pPr>
        <w:spacing w:line="240" w:lineRule="auto"/>
        <w:rPr>
          <w:rFonts w:cs="Arial"/>
        </w:rPr>
      </w:pPr>
    </w:p>
    <w:p w14:paraId="02A67AC4" w14:textId="77777777" w:rsidR="003F22A8" w:rsidRPr="00AD37F9" w:rsidRDefault="003F22A8" w:rsidP="003F22A8">
      <w:pPr>
        <w:spacing w:line="240" w:lineRule="auto"/>
        <w:rPr>
          <w:rFonts w:cs="Arial"/>
        </w:rPr>
      </w:pP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61"/>
        <w:gridCol w:w="1135"/>
        <w:gridCol w:w="1418"/>
        <w:gridCol w:w="1300"/>
      </w:tblGrid>
      <w:tr w:rsidR="003F22A8" w:rsidRPr="00AD37F9" w14:paraId="61E45732" w14:textId="77777777" w:rsidTr="003F7050">
        <w:trPr>
          <w:trHeight w:val="290"/>
          <w:tblHeader/>
        </w:trPr>
        <w:tc>
          <w:tcPr>
            <w:tcW w:w="5561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47C06E32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C50487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6EF8AE9B" w14:textId="3C854880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0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554F650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548AAAEA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0FF21134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493A94">
              <w:rPr>
                <w:rFonts w:cs="Arial"/>
                <w:b/>
                <w:color w:val="FFFFFF" w:themeColor="background1"/>
              </w:rPr>
              <w:t>Kernthema: Regionale Produkte und Angebote stärken und vermarkten</w:t>
            </w:r>
            <w:r w:rsidRPr="00493A94">
              <w:rPr>
                <w:rFonts w:cs="Arial"/>
                <w:b/>
                <w:color w:val="FFFFFF" w:themeColor="background1"/>
              </w:rPr>
              <w:br/>
            </w:r>
            <w:r w:rsidRPr="00493A94">
              <w:rPr>
                <w:rFonts w:cs="Arial"/>
                <w:color w:val="FFFFFF" w:themeColor="background1"/>
                <w:lang w:eastAsia="de-DE"/>
              </w:rPr>
              <w:t>(Zukunftsthema: Regionale Wertschöpfung)</w:t>
            </w:r>
          </w:p>
        </w:tc>
      </w:tr>
      <w:tr w:rsidR="003F22A8" w:rsidRPr="00AD37F9" w14:paraId="0BF55C50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66CBC798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leistet positiven Beitrag </w:t>
            </w:r>
            <w:r>
              <w:rPr>
                <w:rFonts w:cs="Arial"/>
                <w:b/>
                <w:color w:val="000000"/>
              </w:rPr>
              <w:t>Stärkung und Vermarktung r</w:t>
            </w:r>
            <w:r w:rsidRPr="00AD37F9">
              <w:rPr>
                <w:rFonts w:cs="Arial"/>
                <w:b/>
                <w:color w:val="000000"/>
              </w:rPr>
              <w:t>egionale</w:t>
            </w:r>
            <w:r>
              <w:rPr>
                <w:rFonts w:cs="Arial"/>
                <w:b/>
                <w:color w:val="000000"/>
              </w:rPr>
              <w:t>r</w:t>
            </w:r>
            <w:r w:rsidRPr="00AD37F9">
              <w:rPr>
                <w:rFonts w:cs="Arial"/>
                <w:b/>
                <w:color w:val="000000"/>
              </w:rPr>
              <w:t xml:space="preserve"> Produkte und Angebote </w:t>
            </w:r>
          </w:p>
          <w:p w14:paraId="32B5045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Vorhaben:</w:t>
            </w:r>
          </w:p>
          <w:p w14:paraId="6574233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57053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steigert die Vermarktung für regionale Produkte</w:t>
            </w:r>
          </w:p>
          <w:p w14:paraId="3377FC3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erweitert das Angebot regionaler Produkte</w:t>
            </w:r>
          </w:p>
          <w:p w14:paraId="1D141198" w14:textId="050F9046" w:rsidR="003F22A8" w:rsidRDefault="003F22A8" w:rsidP="00DA7F9F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stärkt die Wertschöpfung durch Verknüpfung regionaler</w:t>
            </w:r>
            <w:r w:rsidR="00DA7F9F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A</w:t>
            </w:r>
            <w:r w:rsidR="00DA7F9F">
              <w:rPr>
                <w:rFonts w:cs="Arial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bieter:innen zu Arbeitsgemeinschaften</w:t>
            </w:r>
          </w:p>
          <w:p w14:paraId="25F3A38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verbessert die digitalen Angebote</w:t>
            </w:r>
          </w:p>
          <w:p w14:paraId="0ED4309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spart Emissionen ein</w:t>
            </w:r>
          </w:p>
          <w:p w14:paraId="7D5877C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stärkt den Zusammenhalt der Region</w:t>
            </w:r>
          </w:p>
          <w:p w14:paraId="45F706B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den Konsum saisonaler Produkte</w:t>
            </w:r>
          </w:p>
          <w:p w14:paraId="30C9B85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5B24A08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63CEFFFA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73F0951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85526B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25BA2BF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7235907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738485F4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5EE32C6C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4C2C1063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517D880C" w14:textId="77777777" w:rsidR="003F22A8" w:rsidRDefault="003F22A8" w:rsidP="00DA7F9F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57D90548" w14:textId="5314ECAA" w:rsidR="003F22A8" w:rsidRDefault="003F22A8" w:rsidP="00DA7F9F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Maßnahmen zur Sicherstellung der lokalen</w:t>
            </w:r>
            <w:r w:rsidR="00DA7F9F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3BAC7B9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630E20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 Mobilität</w:t>
            </w:r>
          </w:p>
          <w:p w14:paraId="3012127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405B4E6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09DC745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696888D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6A56B2BD" w14:textId="72124A19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weiteres Kernthema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  <w:r w:rsidR="00E01382">
              <w:rPr>
                <w:rFonts w:cs="Arial"/>
                <w:color w:val="000000"/>
                <w:sz w:val="20"/>
                <w:szCs w:val="20"/>
              </w:rPr>
              <w:t xml:space="preserve"> Punkte)</w:t>
            </w:r>
          </w:p>
          <w:p w14:paraId="1B13E88F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5CD7F01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178E270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437BECF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043EAD2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317ECC3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3E13DFF8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7E04FB">
              <w:rPr>
                <w:rFonts w:cs="Arial"/>
                <w:b/>
                <w:color w:val="000000"/>
              </w:rPr>
              <w:t>Projekt leistet zusätzlich positiven Beitrag zur Zielerreichung im Zukunftsthema Klimaschutz und Klimawandelanpassung</w:t>
            </w:r>
            <w:r w:rsidRPr="00AD37F9">
              <w:rPr>
                <w:rFonts w:cs="Arial"/>
                <w:b/>
                <w:color w:val="000000"/>
              </w:rPr>
              <w:t xml:space="preserve"> </w:t>
            </w:r>
          </w:p>
          <w:p w14:paraId="1B84108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leistet Beitrag zur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347ABFF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91D28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Sensibilisierung und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/oder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Bewusstseinsbildung</w:t>
            </w:r>
          </w:p>
          <w:p w14:paraId="6422638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Energieeinsparung und Energieeffizienz</w:t>
            </w:r>
          </w:p>
          <w:p w14:paraId="1651303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Klimafreundlichen Mobilität</w:t>
            </w:r>
          </w:p>
          <w:p w14:paraId="43B3D00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Erhaltung und Schutz der Biodiversität</w:t>
            </w:r>
          </w:p>
          <w:p w14:paraId="6441584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Co2-Speicherung durch biologische Maßnahmen</w:t>
            </w:r>
          </w:p>
          <w:p w14:paraId="39E4F95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Nutzung regenerativer Energien</w:t>
            </w:r>
          </w:p>
          <w:p w14:paraId="203EF62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von nachhaltiger Landwirtschaft</w:t>
            </w:r>
          </w:p>
          <w:p w14:paraId="2A76AED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61EDC3B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08F380A7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09B4982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605FB49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52A05083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6B3D8B5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9D11D34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37E2D26D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  <w:vAlign w:val="center"/>
          </w:tcPr>
          <w:p w14:paraId="13AF746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8" w:type="dxa"/>
            <w:vAlign w:val="center"/>
          </w:tcPr>
          <w:p w14:paraId="4D11F80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0" w:type="dxa"/>
            <w:vAlign w:val="center"/>
          </w:tcPr>
          <w:p w14:paraId="4564DF2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4B6299E9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765A2569" w14:textId="77777777" w:rsidR="003F22A8" w:rsidRPr="00A842D5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lastRenderedPageBreak/>
              <w:t xml:space="preserve">Im kernthemenspezifischen Bewertungsbogen werden mindestens 5 Punkte erreicht (Ausschlusskriterium) </w:t>
            </w:r>
          </w:p>
        </w:tc>
        <w:tc>
          <w:tcPr>
            <w:tcW w:w="3853" w:type="dxa"/>
            <w:gridSpan w:val="3"/>
            <w:vAlign w:val="center"/>
          </w:tcPr>
          <w:p w14:paraId="7B5A1EF5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20B751B1" w14:textId="77777777" w:rsidR="003F22A8" w:rsidRPr="00AD37F9" w:rsidRDefault="003F22A8" w:rsidP="003F22A8">
      <w:pPr>
        <w:spacing w:before="120"/>
        <w:rPr>
          <w:rFonts w:cs="Arial"/>
          <w:sz w:val="18"/>
        </w:rPr>
      </w:pPr>
    </w:p>
    <w:p w14:paraId="6BEAA9AD" w14:textId="2CEE3E5D" w:rsidR="003F22A8" w:rsidRPr="00934D63" w:rsidRDefault="003F22A8" w:rsidP="00934D63">
      <w:pPr>
        <w:spacing w:line="240" w:lineRule="auto"/>
        <w:rPr>
          <w:rFonts w:cs="Arial"/>
        </w:rPr>
      </w:pPr>
      <w:r w:rsidRPr="00AD37F9">
        <w:rPr>
          <w:rFonts w:cs="Arial"/>
        </w:rPr>
        <w:br w:type="page"/>
      </w:r>
    </w:p>
    <w:p w14:paraId="247C470A" w14:textId="77777777" w:rsidR="003F22A8" w:rsidRDefault="003F22A8" w:rsidP="003F22A8">
      <w:pPr>
        <w:spacing w:after="160" w:line="259" w:lineRule="auto"/>
        <w:jc w:val="left"/>
        <w:rPr>
          <w:color w:val="004884"/>
          <w:sz w:val="32"/>
          <w:szCs w:val="32"/>
          <w:lang w:eastAsia="de-DE"/>
        </w:rPr>
      </w:pPr>
    </w:p>
    <w:p w14:paraId="4EBE0168" w14:textId="77777777" w:rsidR="003F22A8" w:rsidRDefault="003F22A8" w:rsidP="003F22A8">
      <w:pPr>
        <w:spacing w:after="160" w:line="259" w:lineRule="auto"/>
        <w:jc w:val="left"/>
        <w:rPr>
          <w:color w:val="004884"/>
          <w:sz w:val="32"/>
          <w:szCs w:val="32"/>
          <w:lang w:eastAsia="de-DE"/>
        </w:rPr>
      </w:pPr>
    </w:p>
    <w:p w14:paraId="0499F00D" w14:textId="4ADB4F40" w:rsidR="003F22A8" w:rsidRDefault="003F22A8" w:rsidP="003F22A8">
      <w:pPr>
        <w:spacing w:after="160" w:line="259" w:lineRule="auto"/>
        <w:jc w:val="left"/>
        <w:rPr>
          <w:color w:val="004884"/>
          <w:sz w:val="32"/>
          <w:szCs w:val="32"/>
          <w:lang w:eastAsia="de-DE"/>
        </w:rPr>
      </w:pPr>
    </w:p>
    <w:p w14:paraId="209ADB12" w14:textId="77777777" w:rsidR="003F22A8" w:rsidRPr="00934D63" w:rsidRDefault="003F22A8" w:rsidP="00934D63">
      <w:pPr>
        <w:rPr>
          <w:color w:val="004884"/>
          <w:sz w:val="28"/>
          <w:szCs w:val="28"/>
          <w:lang w:eastAsia="de-DE"/>
        </w:rPr>
      </w:pPr>
      <w:r w:rsidRPr="00934D63">
        <w:rPr>
          <w:color w:val="004884"/>
          <w:sz w:val="28"/>
          <w:szCs w:val="28"/>
        </w:rPr>
        <w:t>Bewertungsbogen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>Alle 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>Kriterium 1: Anzahl der beteiligten Partner</w:t>
            </w:r>
            <w:r>
              <w:rPr>
                <w:rFonts w:cs="Arial"/>
                <w:b/>
                <w:bCs/>
              </w:rPr>
              <w:t>:innen</w:t>
            </w:r>
            <w:r w:rsidRPr="00AF4CA1">
              <w:rPr>
                <w:rFonts w:cs="Arial"/>
                <w:b/>
                <w:bCs/>
              </w:rPr>
              <w:br/>
            </w:r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r w:rsidRPr="00AF4CA1">
              <w:rPr>
                <w:rFonts w:cs="Arial"/>
                <w:bCs/>
                <w:sz w:val="20"/>
              </w:rPr>
              <w:t xml:space="preserve"> weiterer Partner</w:t>
            </w:r>
            <w:r>
              <w:rPr>
                <w:rFonts w:cs="Arial"/>
                <w:bCs/>
                <w:sz w:val="20"/>
              </w:rPr>
              <w:t>:in</w:t>
            </w:r>
            <w:r w:rsidRPr="00AF4CA1">
              <w:rPr>
                <w:rFonts w:cs="Arial"/>
                <w:bCs/>
                <w:sz w:val="20"/>
              </w:rPr>
              <w:t xml:space="preserve"> = 1 Punkt,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2 Punkte, mehr als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>- ein:e weitere:r Partner:in setzt eine 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ein weitere:r Partner:in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33FDF9D6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lastRenderedPageBreak/>
              <w:t xml:space="preserve">kein Mehrwert = 0 Punkte, </w:t>
            </w:r>
            <w:r>
              <w:rPr>
                <w:rFonts w:cs="Arial"/>
                <w:bCs/>
                <w:sz w:val="20"/>
              </w:rPr>
              <w:t>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 xml:space="preserve">= 3 Punkte, </w:t>
            </w:r>
            <w:r>
              <w:rPr>
                <w:rFonts w:cs="Arial"/>
                <w:bCs/>
                <w:sz w:val="20"/>
              </w:rPr>
              <w:t>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>Gesamtfinanzierung durch mehrere 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r w:rsidRPr="00AD37F9">
              <w:rPr>
                <w:rFonts w:cs="Arial"/>
                <w:bCs/>
                <w:sz w:val="20"/>
              </w:rPr>
              <w:t xml:space="preserve"> sowie durch Synergieeffekte, die 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lastRenderedPageBreak/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Projektkooperationen von nicht öffentlichen 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Sonderpunkt bei Funktionsübernahme und/oder Beteiligung durch WiSo-Partner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7781A6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lastRenderedPageBreak/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3D9CFC6F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10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77777777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11577FE6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DA7F9F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22C52">
              <w:rPr>
                <w:rFonts w:eastAsia="Times New Roman" w:cs="Arial"/>
                <w:sz w:val="20"/>
                <w:lang w:eastAsia="de-DE"/>
              </w:rPr>
            </w:r>
            <w:r w:rsidR="00022C52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022C52"/>
    <w:rsid w:val="00092A3A"/>
    <w:rsid w:val="00271F55"/>
    <w:rsid w:val="003B5F7E"/>
    <w:rsid w:val="003F22A8"/>
    <w:rsid w:val="004741C9"/>
    <w:rsid w:val="0085590F"/>
    <w:rsid w:val="00864E52"/>
    <w:rsid w:val="00934D63"/>
    <w:rsid w:val="00B4566B"/>
    <w:rsid w:val="00CA1023"/>
    <w:rsid w:val="00DA7F9F"/>
    <w:rsid w:val="00E01382"/>
    <w:rsid w:val="00E10A8B"/>
    <w:rsid w:val="00F41A6A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8</cp:revision>
  <dcterms:created xsi:type="dcterms:W3CDTF">2023-02-17T11:11:00Z</dcterms:created>
  <dcterms:modified xsi:type="dcterms:W3CDTF">2023-09-06T06:51:00Z</dcterms:modified>
</cp:coreProperties>
</file>